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400" w:after="100"/>
      </w:pPr>
      <w:r>
        <w:rPr>
          <w:rFonts w:ascii="Aptos" w:hAnsi="Aptos"/>
          <w:b/>
          <w:color w:val="191919"/>
          <w:sz w:val="52"/>
        </w:rPr>
        <w:t>R.E.A.C.T. Athlete Performance and Resilience Pilot</w:t>
      </w:r>
    </w:p>
    <w:p>
      <w:pPr>
        <w:spacing w:before="0" w:after="240" w:line="259" w:lineRule="auto"/>
      </w:pPr>
      <w:r>
        <w:rPr>
          <w:rFonts w:ascii="Aptos" w:hAnsi="Aptos"/>
          <w:color w:val="9E1B32"/>
          <w:sz w:val="26"/>
        </w:rPr>
        <w:t>A practical team program for pressure, consistency, connection, and career transitions</w:t>
      </w:r>
    </w:p>
    <w:p>
      <w:pPr>
        <w:spacing w:before="0" w:after="280" w:line="259" w:lineRule="auto"/>
      </w:pPr>
      <w:r>
        <w:rPr>
          <w:rFonts w:ascii="Aptos" w:hAnsi="Aptos"/>
          <w:b/>
          <w:color w:val="B68A35"/>
          <w:sz w:val="18"/>
        </w:rPr>
        <w:t>PROGRAM OVERVIEW AND DELIVERY GUIDE</w:t>
      </w:r>
    </w:p>
    <w:p>
      <w:pPr>
        <w:spacing w:before="0" w:after="100" w:line="259" w:lineRule="auto"/>
      </w:pPr>
      <w:r>
        <w:rPr>
          <w:rFonts w:ascii="Aptos" w:hAnsi="Aptos"/>
          <w:b/>
          <w:color w:val="191919"/>
          <w:sz w:val="21"/>
        </w:rPr>
        <w:t>Prepared by</w:t>
      </w:r>
      <w:r>
        <w:rPr>
          <w:rFonts w:ascii="Aptos" w:hAnsi="Aptos"/>
          <w:color w:val="191919"/>
          <w:sz w:val="21"/>
        </w:rPr>
        <w:t xml:space="preserve"> Dr. Jonathean Reese, DSW, MA Counseling Psychology</w:t>
        <w:br/>
        <w:t>R.E.A.C.T. Performance Institute</w:t>
      </w:r>
    </w:p>
    <w:p>
      <w:pPr>
        <w:pStyle w:val="Heading1"/>
        <w:keepNext/>
        <w:spacing w:before="240" w:after="100"/>
      </w:pPr>
      <w:r>
        <w:rPr>
          <w:rFonts w:ascii="Aptos" w:hAnsi="Aptos"/>
          <w:b/>
          <w:color w:val="191919"/>
          <w:sz w:val="30"/>
        </w:rPr>
        <w:t>Program overview</w:t>
      </w:r>
    </w:p>
    <w:p>
      <w:pPr>
        <w:spacing w:before="0" w:after="100" w:line="259" w:lineRule="auto"/>
      </w:pPr>
      <w:r>
        <w:rPr>
          <w:rFonts w:ascii="Aptos" w:hAnsi="Aptos"/>
          <w:color w:val="191919"/>
          <w:sz w:val="21"/>
        </w:rPr>
        <w:t>The R.E.A.C.T. Athlete Performance and Resilience Pilot gives athletes a repeatable set of practical skills for responding to pressure, maintaining routines, building supportive connections, and navigating change. It is designed for college and professional teams and can be delivered as one 60–90 minute workshop or as a workshop followed by four short sessions.</w:t>
      </w:r>
    </w:p>
    <w:p>
      <w:pPr>
        <w:spacing w:before="0" w:after="100" w:line="259" w:lineRule="auto"/>
      </w:pPr>
      <w:r>
        <w:rPr>
          <w:rFonts w:ascii="Aptos" w:hAnsi="Aptos"/>
          <w:color w:val="191919"/>
          <w:sz w:val="21"/>
        </w:rPr>
        <w:t>The pilot is educational and performance focused. It complements a team’s existing sports psychology, medical, athletic training, coaching, and player support services. It does not provide psychotherapy, diagnosis, crisis intervention, or medical treatment.</w:t>
      </w:r>
    </w:p>
    <w:p>
      <w:pPr>
        <w:pStyle w:val="Heading2"/>
        <w:keepNext/>
        <w:spacing w:before="160" w:after="100"/>
      </w:pPr>
      <w:r>
        <w:rPr>
          <w:rFonts w:ascii="Aptos" w:hAnsi="Aptos"/>
          <w:b/>
          <w:color w:val="191919"/>
          <w:sz w:val="23"/>
        </w:rPr>
        <w:t>At a glance</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97"/>
        <w:gridCol w:w="4997"/>
      </w:tblGrid>
      <w:tr>
        <w:trPr>
          <w:cantSplit/>
        </w:trPr>
        <w:tc>
          <w:tcPr>
            <w:tcW w:type="dxa" w:w="2232"/>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8"/>
              </w:rPr>
              <w:t>Element</w:t>
            </w:r>
          </w:p>
        </w:tc>
        <w:tc>
          <w:tcPr>
            <w:tcW w:type="dxa" w:w="7992"/>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8"/>
              </w:rPr>
              <w:t>Pilot design</w:t>
            </w:r>
          </w:p>
        </w:tc>
      </w:tr>
      <w:tr>
        <w:trPr>
          <w:cantSplit/>
        </w:trPr>
        <w:tc>
          <w:tcPr>
            <w:tcW w:type="dxa" w:w="2232"/>
            <w:vAlign w:val="center"/>
            <w:tcMar>
              <w:top w:w="100" w:type="dxa"/>
              <w:start w:w="120" w:type="dxa"/>
              <w:bottom w:w="100" w:type="dxa"/>
              <w:end w:w="120" w:type="dxa"/>
            </w:tcMar>
          </w:tcPr>
          <w:p>
            <w:pPr>
              <w:widowControl/>
              <w:spacing w:before="0" w:after="0" w:line="245" w:lineRule="auto"/>
            </w:pPr>
            <w:r>
              <w:rPr>
                <w:rFonts w:ascii="Aptos" w:hAnsi="Aptos"/>
                <w:color w:val="191919"/>
                <w:sz w:val="18"/>
              </w:rPr>
              <w:t>Entry format</w:t>
            </w:r>
          </w:p>
        </w:tc>
        <w:tc>
          <w:tcPr>
            <w:tcW w:type="dxa" w:w="7992"/>
            <w:vAlign w:val="center"/>
            <w:tcMar>
              <w:top w:w="100" w:type="dxa"/>
              <w:start w:w="120" w:type="dxa"/>
              <w:bottom w:w="100" w:type="dxa"/>
              <w:end w:w="120" w:type="dxa"/>
            </w:tcMar>
          </w:tcPr>
          <w:p>
            <w:pPr>
              <w:widowControl/>
              <w:spacing w:before="0" w:after="0" w:line="245" w:lineRule="auto"/>
            </w:pPr>
            <w:r>
              <w:rPr>
                <w:rFonts w:ascii="Aptos" w:hAnsi="Aptos"/>
                <w:color w:val="191919"/>
                <w:sz w:val="18"/>
              </w:rPr>
              <w:t>One 75-minute team workshop; adjustable to 60 or 90 minutes.</w:t>
            </w:r>
          </w:p>
        </w:tc>
      </w:tr>
      <w:tr>
        <w:trPr>
          <w:cantSplit/>
        </w:trPr>
        <w:tc>
          <w:tcPr>
            <w:tcW w:type="dxa" w:w="223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Extended format</w:t>
            </w:r>
          </w:p>
        </w:tc>
        <w:tc>
          <w:tcPr>
            <w:tcW w:type="dxa" w:w="799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Four follow-up sessions, typically 45–60 minutes each, delivered weekly or on the team’s schedule.</w:t>
            </w:r>
          </w:p>
        </w:tc>
      </w:tr>
      <w:tr>
        <w:trPr>
          <w:cantSplit/>
        </w:trPr>
        <w:tc>
          <w:tcPr>
            <w:tcW w:type="dxa" w:w="2232"/>
            <w:vAlign w:val="center"/>
            <w:tcMar>
              <w:top w:w="100" w:type="dxa"/>
              <w:start w:w="120" w:type="dxa"/>
              <w:bottom w:w="100" w:type="dxa"/>
              <w:end w:w="120" w:type="dxa"/>
            </w:tcMar>
          </w:tcPr>
          <w:p>
            <w:pPr>
              <w:widowControl/>
              <w:spacing w:before="0" w:after="0" w:line="245" w:lineRule="auto"/>
            </w:pPr>
            <w:r>
              <w:rPr>
                <w:rFonts w:ascii="Aptos" w:hAnsi="Aptos"/>
                <w:color w:val="191919"/>
                <w:sz w:val="18"/>
              </w:rPr>
              <w:t>Audience</w:t>
            </w:r>
          </w:p>
        </w:tc>
        <w:tc>
          <w:tcPr>
            <w:tcW w:type="dxa" w:w="7992"/>
            <w:vAlign w:val="center"/>
            <w:tcMar>
              <w:top w:w="100" w:type="dxa"/>
              <w:start w:w="120" w:type="dxa"/>
              <w:bottom w:w="100" w:type="dxa"/>
              <w:end w:w="120" w:type="dxa"/>
            </w:tcMar>
          </w:tcPr>
          <w:p>
            <w:pPr>
              <w:widowControl/>
              <w:spacing w:before="0" w:after="0" w:line="245" w:lineRule="auto"/>
            </w:pPr>
            <w:r>
              <w:rPr>
                <w:rFonts w:ascii="Aptos" w:hAnsi="Aptos"/>
                <w:color w:val="191919"/>
                <w:sz w:val="18"/>
              </w:rPr>
              <w:t>College or professional athletes; examples and scenarios are customized to the team.</w:t>
            </w:r>
          </w:p>
        </w:tc>
      </w:tr>
      <w:tr>
        <w:trPr>
          <w:cantSplit/>
        </w:trPr>
        <w:tc>
          <w:tcPr>
            <w:tcW w:type="dxa" w:w="223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Core framework</w:t>
            </w:r>
          </w:p>
        </w:tc>
        <w:tc>
          <w:tcPr>
            <w:tcW w:type="dxa" w:w="799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Resilience, Emotion, Activity, Connection, Transition.</w:t>
            </w:r>
          </w:p>
        </w:tc>
      </w:tr>
      <w:tr>
        <w:trPr>
          <w:cantSplit/>
        </w:trPr>
        <w:tc>
          <w:tcPr>
            <w:tcW w:type="dxa" w:w="2232"/>
            <w:vAlign w:val="center"/>
            <w:tcMar>
              <w:top w:w="100" w:type="dxa"/>
              <w:start w:w="120" w:type="dxa"/>
              <w:bottom w:w="100" w:type="dxa"/>
              <w:end w:w="120" w:type="dxa"/>
            </w:tcMar>
          </w:tcPr>
          <w:p>
            <w:pPr>
              <w:widowControl/>
              <w:spacing w:before="0" w:after="0" w:line="245" w:lineRule="auto"/>
            </w:pPr>
            <w:r>
              <w:rPr>
                <w:rFonts w:ascii="Aptos" w:hAnsi="Aptos"/>
                <w:color w:val="191919"/>
                <w:sz w:val="18"/>
              </w:rPr>
              <w:t>Team deliverable</w:t>
            </w:r>
          </w:p>
        </w:tc>
        <w:tc>
          <w:tcPr>
            <w:tcW w:type="dxa" w:w="7992"/>
            <w:vAlign w:val="center"/>
            <w:tcMar>
              <w:top w:w="100" w:type="dxa"/>
              <w:start w:w="120" w:type="dxa"/>
              <w:bottom w:w="100" w:type="dxa"/>
              <w:end w:w="120" w:type="dxa"/>
            </w:tcMar>
          </w:tcPr>
          <w:p>
            <w:pPr>
              <w:widowControl/>
              <w:spacing w:before="0" w:after="0" w:line="245" w:lineRule="auto"/>
            </w:pPr>
            <w:r>
              <w:rPr>
                <w:rFonts w:ascii="Aptos" w:hAnsi="Aptos"/>
                <w:color w:val="191919"/>
                <w:sz w:val="18"/>
              </w:rPr>
              <w:t>Facilitated session(s), athlete takeaway tools, anonymous feedback summary, and recommendations for next steps.</w:t>
            </w:r>
          </w:p>
        </w:tc>
      </w:tr>
    </w:tbl>
    <w:p>
      <w:pPr>
        <w:spacing w:after="20"/>
      </w:pPr>
    </w:p>
    <w:p>
      <w:pPr>
        <w:pStyle w:val="Heading2"/>
        <w:keepNext/>
        <w:spacing w:before="160" w:after="100"/>
      </w:pPr>
      <w:r>
        <w:rPr>
          <w:rFonts w:ascii="Aptos" w:hAnsi="Aptos"/>
          <w:b/>
          <w:color w:val="191919"/>
          <w:sz w:val="23"/>
        </w:rPr>
        <w:t>What athletes should leave with</w:t>
      </w:r>
    </w:p>
    <w:p>
      <w:pPr>
        <w:pStyle w:val="ListBullet"/>
        <w:spacing w:after="40" w:line="250" w:lineRule="auto"/>
        <w:ind w:left="331" w:hanging="173"/>
      </w:pPr>
      <w:r>
        <w:rPr>
          <w:rFonts w:ascii="Aptos" w:hAnsi="Aptos"/>
          <w:color w:val="191919"/>
          <w:sz w:val="20"/>
        </w:rPr>
        <w:t>A short reset routine they can use between plays, after a mistake, or before a high-pressure moment.</w:t>
      </w:r>
    </w:p>
    <w:p>
      <w:pPr>
        <w:pStyle w:val="ListBullet"/>
        <w:spacing w:after="40" w:line="250" w:lineRule="auto"/>
        <w:ind w:left="331" w:hanging="173"/>
      </w:pPr>
      <w:r>
        <w:rPr>
          <w:rFonts w:ascii="Aptos" w:hAnsi="Aptos"/>
          <w:color w:val="191919"/>
          <w:sz w:val="20"/>
        </w:rPr>
        <w:t>A simple way to identify what is within their control and choose a useful next action.</w:t>
      </w:r>
    </w:p>
    <w:p>
      <w:pPr>
        <w:pStyle w:val="ListBullet"/>
        <w:spacing w:after="40" w:line="250" w:lineRule="auto"/>
        <w:ind w:left="331" w:hanging="173"/>
      </w:pPr>
      <w:r>
        <w:rPr>
          <w:rFonts w:ascii="Aptos" w:hAnsi="Aptos"/>
          <w:color w:val="191919"/>
          <w:sz w:val="20"/>
        </w:rPr>
        <w:t>A repeatable preparation and recovery routine that supports consistency.</w:t>
      </w:r>
    </w:p>
    <w:p>
      <w:pPr>
        <w:pStyle w:val="ListBullet"/>
        <w:spacing w:after="40" w:line="250" w:lineRule="auto"/>
        <w:ind w:left="331" w:hanging="173"/>
      </w:pPr>
      <w:r>
        <w:rPr>
          <w:rFonts w:ascii="Aptos" w:hAnsi="Aptos"/>
          <w:color w:val="191919"/>
          <w:sz w:val="20"/>
        </w:rPr>
        <w:t>A clearer plan for asking for support and communicating needs.</w:t>
      </w:r>
    </w:p>
    <w:p>
      <w:pPr>
        <w:pStyle w:val="ListBullet"/>
        <w:spacing w:after="40" w:line="250" w:lineRule="auto"/>
        <w:ind w:left="331" w:hanging="173"/>
      </w:pPr>
      <w:r>
        <w:rPr>
          <w:rFonts w:ascii="Aptos" w:hAnsi="Aptos"/>
          <w:color w:val="191919"/>
          <w:sz w:val="20"/>
        </w:rPr>
        <w:t>A transition map for handling change in sport, role, health, education, or career.</w:t>
      </w:r>
    </w:p>
    <w:p>
      <w:pPr>
        <w:pStyle w:val="Heading1"/>
        <w:keepNext/>
        <w:spacing w:before="240" w:after="100"/>
      </w:pPr>
      <w:r>
        <w:rPr>
          <w:rFonts w:ascii="Aptos" w:hAnsi="Aptos"/>
          <w:b/>
          <w:color w:val="191919"/>
          <w:sz w:val="30"/>
        </w:rPr>
        <w:t>The R.E.A.C.T. framework</w:t>
      </w:r>
    </w:p>
    <w:p>
      <w:pPr>
        <w:spacing w:before="0" w:after="100" w:line="259" w:lineRule="auto"/>
      </w:pPr>
      <w:r>
        <w:rPr>
          <w:rFonts w:ascii="Aptos" w:hAnsi="Aptos"/>
          <w:color w:val="191919"/>
          <w:sz w:val="21"/>
        </w:rPr>
        <w:t>The framework organizes the pilot around five connected practices. The team can use the same language across sessions so athletes have a concise structure to return to when demands change.</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97"/>
        <w:gridCol w:w="4997"/>
      </w:tblGrid>
      <w:tr>
        <w:trPr>
          <w:cantSplit/>
        </w:trPr>
        <w:tc>
          <w:tcPr>
            <w:tcW w:type="dxa" w:w="1800"/>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8"/>
              </w:rPr>
              <w:t>Element</w:t>
            </w:r>
          </w:p>
        </w:tc>
        <w:tc>
          <w:tcPr>
            <w:tcW w:type="dxa" w:w="8424"/>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8"/>
              </w:rPr>
              <w:t>Athlete application</w:t>
            </w:r>
          </w:p>
        </w:tc>
      </w:tr>
      <w:tr>
        <w:trPr>
          <w:cantSplit/>
        </w:trPr>
        <w:tc>
          <w:tcPr>
            <w:tcW w:type="dxa" w:w="1800"/>
            <w:vAlign w:val="center"/>
            <w:tcMar>
              <w:top w:w="100" w:type="dxa"/>
              <w:start w:w="120" w:type="dxa"/>
              <w:bottom w:w="100" w:type="dxa"/>
              <w:end w:w="120" w:type="dxa"/>
            </w:tcMar>
          </w:tcPr>
          <w:p>
            <w:pPr>
              <w:widowControl/>
              <w:spacing w:before="0" w:after="0" w:line="245" w:lineRule="auto"/>
            </w:pPr>
            <w:r>
              <w:rPr>
                <w:rFonts w:ascii="Aptos" w:hAnsi="Aptos"/>
                <w:color w:val="191919"/>
                <w:sz w:val="18"/>
              </w:rPr>
              <w:t>Resilience</w:t>
            </w:r>
          </w:p>
        </w:tc>
        <w:tc>
          <w:tcPr>
            <w:tcW w:type="dxa" w:w="8424"/>
            <w:vAlign w:val="center"/>
            <w:tcMar>
              <w:top w:w="100" w:type="dxa"/>
              <w:start w:w="120" w:type="dxa"/>
              <w:bottom w:w="100" w:type="dxa"/>
              <w:end w:w="120" w:type="dxa"/>
            </w:tcMar>
          </w:tcPr>
          <w:p>
            <w:pPr>
              <w:widowControl/>
              <w:spacing w:before="0" w:after="0" w:line="245" w:lineRule="auto"/>
            </w:pPr>
            <w:r>
              <w:rPr>
                <w:rFonts w:ascii="Aptos" w:hAnsi="Aptos"/>
                <w:color w:val="191919"/>
                <w:sz w:val="18"/>
              </w:rPr>
              <w:t>Recover from setbacks, learn from mistakes, and keep perspective through adversity.</w:t>
            </w:r>
          </w:p>
        </w:tc>
      </w:tr>
      <w:tr>
        <w:trPr>
          <w:cantSplit/>
        </w:trPr>
        <w:tc>
          <w:tcPr>
            <w:tcW w:type="dxa" w:w="1800"/>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Emotion</w:t>
            </w:r>
          </w:p>
        </w:tc>
        <w:tc>
          <w:tcPr>
            <w:tcW w:type="dxa" w:w="842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Notice pressure and emotional cues, regulate the immediate response, and choose the next action.</w:t>
            </w:r>
          </w:p>
        </w:tc>
      </w:tr>
      <w:tr>
        <w:trPr>
          <w:cantSplit/>
        </w:trPr>
        <w:tc>
          <w:tcPr>
            <w:tcW w:type="dxa" w:w="1800"/>
            <w:vAlign w:val="center"/>
            <w:tcMar>
              <w:top w:w="100" w:type="dxa"/>
              <w:start w:w="120" w:type="dxa"/>
              <w:bottom w:w="100" w:type="dxa"/>
              <w:end w:w="120" w:type="dxa"/>
            </w:tcMar>
          </w:tcPr>
          <w:p>
            <w:pPr>
              <w:widowControl/>
              <w:spacing w:before="0" w:after="0" w:line="245" w:lineRule="auto"/>
            </w:pPr>
            <w:r>
              <w:rPr>
                <w:rFonts w:ascii="Aptos" w:hAnsi="Aptos"/>
                <w:color w:val="191919"/>
                <w:sz w:val="18"/>
              </w:rPr>
              <w:t>Activity</w:t>
            </w:r>
          </w:p>
        </w:tc>
        <w:tc>
          <w:tcPr>
            <w:tcW w:type="dxa" w:w="8424"/>
            <w:vAlign w:val="center"/>
            <w:tcMar>
              <w:top w:w="100" w:type="dxa"/>
              <w:start w:w="120" w:type="dxa"/>
              <w:bottom w:w="100" w:type="dxa"/>
              <w:end w:w="120" w:type="dxa"/>
            </w:tcMar>
          </w:tcPr>
          <w:p>
            <w:pPr>
              <w:widowControl/>
              <w:spacing w:before="0" w:after="0" w:line="245" w:lineRule="auto"/>
            </w:pPr>
            <w:r>
              <w:rPr>
                <w:rFonts w:ascii="Aptos" w:hAnsi="Aptos"/>
                <w:color w:val="191919"/>
                <w:sz w:val="18"/>
              </w:rPr>
              <w:t>Use movement, preparation, recovery, and disciplined routines to support performance readiness.</w:t>
            </w:r>
          </w:p>
        </w:tc>
      </w:tr>
      <w:tr>
        <w:trPr>
          <w:cantSplit/>
        </w:trPr>
        <w:tc>
          <w:tcPr>
            <w:tcW w:type="dxa" w:w="1800"/>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Connection</w:t>
            </w:r>
          </w:p>
        </w:tc>
        <w:tc>
          <w:tcPr>
            <w:tcW w:type="dxa" w:w="842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Strengthen communication, trust, mentorship, and help-seeking within the team and support network.</w:t>
            </w:r>
          </w:p>
        </w:tc>
      </w:tr>
      <w:tr>
        <w:trPr>
          <w:cantSplit/>
        </w:trPr>
        <w:tc>
          <w:tcPr>
            <w:tcW w:type="dxa" w:w="1800"/>
            <w:vAlign w:val="center"/>
            <w:tcMar>
              <w:top w:w="100" w:type="dxa"/>
              <w:start w:w="120" w:type="dxa"/>
              <w:bottom w:w="100" w:type="dxa"/>
              <w:end w:w="120" w:type="dxa"/>
            </w:tcMar>
          </w:tcPr>
          <w:p>
            <w:pPr>
              <w:widowControl/>
              <w:spacing w:before="0" w:after="0" w:line="245" w:lineRule="auto"/>
            </w:pPr>
            <w:r>
              <w:rPr>
                <w:rFonts w:ascii="Aptos" w:hAnsi="Aptos"/>
                <w:color w:val="191919"/>
                <w:sz w:val="18"/>
              </w:rPr>
              <w:t>Transition</w:t>
            </w:r>
          </w:p>
        </w:tc>
        <w:tc>
          <w:tcPr>
            <w:tcW w:type="dxa" w:w="8424"/>
            <w:vAlign w:val="center"/>
            <w:tcMar>
              <w:top w:w="100" w:type="dxa"/>
              <w:start w:w="120" w:type="dxa"/>
              <w:bottom w:w="100" w:type="dxa"/>
              <w:end w:w="120" w:type="dxa"/>
            </w:tcMar>
          </w:tcPr>
          <w:p>
            <w:pPr>
              <w:widowControl/>
              <w:spacing w:before="0" w:after="0" w:line="245" w:lineRule="auto"/>
            </w:pPr>
            <w:r>
              <w:rPr>
                <w:rFonts w:ascii="Aptos" w:hAnsi="Aptos"/>
                <w:color w:val="191919"/>
                <w:sz w:val="18"/>
              </w:rPr>
              <w:t>Prepare for changes in role, season, injury status, academic or professional path, and life after sport.</w:t>
            </w:r>
          </w:p>
        </w:tc>
      </w:tr>
    </w:tbl>
    <w:p>
      <w:pPr>
        <w:spacing w:after="20"/>
      </w:pPr>
    </w:p>
    <w:p>
      <w:pPr>
        <w:pStyle w:val="Heading1"/>
        <w:keepNext/>
        <w:spacing w:before="220" w:after="80"/>
      </w:pPr>
      <w:r>
        <w:rPr>
          <w:rFonts w:ascii="Aptos" w:hAnsi="Aptos"/>
          <w:b/>
          <w:color w:val="191919"/>
          <w:sz w:val="28"/>
        </w:rPr>
        <w:t>How R.E.A.C.T. Fits Existing Professional League Programs</w:t>
      </w:r>
    </w:p>
    <w:p>
      <w:pPr>
        <w:spacing w:after="100" w:line="252" w:lineRule="auto"/>
      </w:pPr>
      <w:r>
        <w:rPr>
          <w:rFonts w:ascii="Aptos" w:hAnsi="Aptos"/>
          <w:b w:val="0"/>
          <w:color w:val="191919"/>
          <w:sz w:val="20"/>
        </w:rPr>
        <w:t>The NFL and NBA already have substantial player wellness, mental health, player development, and transition resources. R.E.A.C.T. should be presented as a focused, optional athlete-development pilot that complements those systems. The alignment below describes a potential fit; it does not imply league approval, team adoption, or affiliation.</w:t>
      </w:r>
    </w:p>
    <w:p>
      <w:pPr>
        <w:pStyle w:val="Heading2"/>
        <w:keepNext/>
        <w:spacing w:before="140" w:after="80"/>
      </w:pPr>
      <w:r>
        <w:rPr>
          <w:rFonts w:ascii="Aptos" w:hAnsi="Aptos"/>
          <w:b/>
          <w:color w:val="191919"/>
          <w:sz w:val="22"/>
        </w:rPr>
        <w:t>NFL Total Wellness is the closest operational comparison</w:t>
      </w:r>
    </w:p>
    <w:p>
      <w:pPr>
        <w:spacing w:after="100" w:line="252" w:lineRule="auto"/>
      </w:pPr>
      <w:r>
        <w:rPr>
          <w:rFonts w:ascii="Aptos" w:hAnsi="Aptos"/>
          <w:b w:val="0"/>
          <w:color w:val="191919"/>
          <w:sz w:val="20"/>
        </w:rPr>
        <w:t>NFL Total Wellness has three stated aims: proactively foster wellbeing, direct players and families to clinical resources, and manage crises. Its approach uses resources such as the Cigna Employee Assistance Program, NFL Life Line, team clinicians, and crisis response systems. R.E.A.C.T. fits most naturally in the educational and preventive part of that ecosystem. It does not provide clinical services or crisis response.</w:t>
      </w:r>
    </w:p>
    <w:p>
      <w:pPr>
        <w:spacing w:after="100" w:line="252" w:lineRule="auto"/>
      </w:pPr>
      <w:r>
        <w:rPr>
          <w:rFonts w:ascii="Aptos" w:hAnsi="Aptos"/>
          <w:b w:val="0"/>
          <w:color w:val="191919"/>
          <w:sz w:val="20"/>
        </w:rPr>
        <w:t>NFL education spans the player life cycle. The NFL describes the Rookie Success Program, team mental health trainings, and Legends Ambassadors trainings for former players. Total Wellness also works with support roles such as team clinicians, Directors of Player Engagement, and the Player Care Foundation. The NFL’s Comprehensive Mental Health and Wellness Committee identifies player transitions, social connection and resilience, injury, and peer support as areas for tailored programming.</w:t>
      </w:r>
    </w:p>
    <w:p>
      <w:pPr>
        <w:pStyle w:val="Heading2"/>
        <w:keepNext/>
        <w:spacing w:before="140" w:after="80"/>
      </w:pPr>
      <w:r>
        <w:rPr>
          <w:rFonts w:ascii="Aptos" w:hAnsi="Aptos"/>
          <w:b/>
          <w:color w:val="191919"/>
          <w:sz w:val="22"/>
        </w:rPr>
        <w:t>A practical R.E.A.C.T. contribution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240"/>
        <w:gridCol w:w="6984"/>
      </w:tblGrid>
      <w:tr>
        <w:trPr>
          <w:cantSplit/>
        </w:trPr>
        <w:tc>
          <w:tcPr>
            <w:tcW w:type="dxa" w:w="3240"/>
            <w:vAlign w:val="center"/>
            <w:tcMar>
              <w:top w:w="95" w:type="dxa"/>
              <w:start w:w="105" w:type="dxa"/>
              <w:bottom w:w="95" w:type="dxa"/>
              <w:end w:w="105" w:type="dxa"/>
            </w:tcMar>
            <w:shd w:fill="9E1B32"/>
          </w:tcPr>
          <w:p>
            <w:pPr>
              <w:keepNext/>
              <w:spacing w:after="0"/>
            </w:pPr>
            <w:r>
              <w:rPr>
                <w:rFonts w:ascii="Aptos" w:hAnsi="Aptos"/>
                <w:b/>
                <w:color w:val="FFFFFF"/>
                <w:sz w:val="18"/>
              </w:rPr>
              <w:t>NFL wellness or development priority</w:t>
            </w:r>
          </w:p>
        </w:tc>
        <w:tc>
          <w:tcPr>
            <w:tcW w:type="dxa" w:w="6984"/>
            <w:vAlign w:val="center"/>
            <w:tcMar>
              <w:top w:w="95" w:type="dxa"/>
              <w:start w:w="105" w:type="dxa"/>
              <w:bottom w:w="95" w:type="dxa"/>
              <w:end w:w="105" w:type="dxa"/>
            </w:tcMar>
            <w:shd w:fill="9E1B32"/>
          </w:tcPr>
          <w:p>
            <w:pPr>
              <w:keepNext/>
              <w:spacing w:after="0"/>
            </w:pPr>
            <w:r>
              <w:rPr>
                <w:rFonts w:ascii="Aptos" w:hAnsi="Aptos"/>
                <w:b/>
                <w:color w:val="FFFFFF"/>
                <w:sz w:val="18"/>
              </w:rPr>
              <w:t>Possible R.E.A.C.T. pilot contribution</w:t>
            </w:r>
          </w:p>
        </w:tc>
      </w:tr>
      <w:tr>
        <w:trPr>
          <w:cantSplit/>
        </w:trPr>
        <w:tc>
          <w:tcPr>
            <w:tcW w:type="dxa" w:w="3240"/>
            <w:vAlign w:val="center"/>
            <w:tcMar>
              <w:top w:w="95" w:type="dxa"/>
              <w:start w:w="105" w:type="dxa"/>
              <w:bottom w:w="95" w:type="dxa"/>
              <w:end w:w="105" w:type="dxa"/>
            </w:tcMar>
          </w:tcPr>
          <w:p>
            <w:pPr>
              <w:spacing w:after="0" w:line="240" w:lineRule="auto"/>
            </w:pPr>
            <w:r>
              <w:rPr>
                <w:rFonts w:ascii="Aptos" w:hAnsi="Aptos"/>
                <w:b w:val="0"/>
                <w:color w:val="191919"/>
                <w:sz w:val="17"/>
              </w:rPr>
              <w:t>Proactive education and everyday skills</w:t>
            </w:r>
          </w:p>
        </w:tc>
        <w:tc>
          <w:tcPr>
            <w:tcW w:type="dxa" w:w="6984"/>
            <w:vAlign w:val="center"/>
            <w:tcMar>
              <w:top w:w="95" w:type="dxa"/>
              <w:start w:w="105" w:type="dxa"/>
              <w:bottom w:w="95" w:type="dxa"/>
              <w:end w:w="105" w:type="dxa"/>
            </w:tcMar>
          </w:tcPr>
          <w:p>
            <w:pPr>
              <w:spacing w:after="0" w:line="240" w:lineRule="auto"/>
            </w:pPr>
            <w:r>
              <w:rPr>
                <w:rFonts w:ascii="Aptos" w:hAnsi="Aptos"/>
                <w:b w:val="0"/>
                <w:color w:val="191919"/>
                <w:sz w:val="17"/>
              </w:rPr>
              <w:t>A facilitated workshop in which athletes practice a short pause, breathing, controllable-action, and next-step routine using team-approved sport scenarios.</w:t>
            </w:r>
          </w:p>
        </w:tc>
      </w:tr>
      <w:tr>
        <w:trPr>
          <w:cantSplit/>
        </w:trPr>
        <w:tc>
          <w:tcPr>
            <w:tcW w:type="dxa" w:w="3240"/>
            <w:vAlign w:val="center"/>
            <w:tcMar>
              <w:top w:w="95" w:type="dxa"/>
              <w:start w:w="105" w:type="dxa"/>
              <w:bottom w:w="95" w:type="dxa"/>
              <w:end w:w="105" w:type="dxa"/>
            </w:tcMar>
            <w:shd w:fill="F7F2F0"/>
          </w:tcPr>
          <w:p>
            <w:pPr>
              <w:spacing w:after="0" w:line="240" w:lineRule="auto"/>
            </w:pPr>
            <w:r>
              <w:rPr>
                <w:rFonts w:ascii="Aptos" w:hAnsi="Aptos"/>
                <w:b w:val="0"/>
                <w:color w:val="191919"/>
                <w:sz w:val="17"/>
              </w:rPr>
              <w:t>Rookie and career transitions</w:t>
            </w:r>
          </w:p>
        </w:tc>
        <w:tc>
          <w:tcPr>
            <w:tcW w:type="dxa" w:w="6984"/>
            <w:vAlign w:val="center"/>
            <w:tcMar>
              <w:top w:w="95" w:type="dxa"/>
              <w:start w:w="105" w:type="dxa"/>
              <w:bottom w:w="95" w:type="dxa"/>
              <w:end w:w="105" w:type="dxa"/>
            </w:tcMar>
            <w:shd w:fill="F7F2F0"/>
          </w:tcPr>
          <w:p>
            <w:pPr>
              <w:spacing w:after="0" w:line="240" w:lineRule="auto"/>
            </w:pPr>
            <w:r>
              <w:rPr>
                <w:rFonts w:ascii="Aptos" w:hAnsi="Aptos"/>
                <w:b w:val="0"/>
                <w:color w:val="191919"/>
                <w:sz w:val="17"/>
              </w:rPr>
              <w:t>A structured transition map for changes in role, injury status, moving into professional sport, or preparing for life beyond sport.</w:t>
            </w:r>
          </w:p>
        </w:tc>
      </w:tr>
      <w:tr>
        <w:trPr>
          <w:cantSplit/>
        </w:trPr>
        <w:tc>
          <w:tcPr>
            <w:tcW w:type="dxa" w:w="3240"/>
            <w:vAlign w:val="center"/>
            <w:tcMar>
              <w:top w:w="95" w:type="dxa"/>
              <w:start w:w="105" w:type="dxa"/>
              <w:bottom w:w="95" w:type="dxa"/>
              <w:end w:w="105" w:type="dxa"/>
            </w:tcMar>
          </w:tcPr>
          <w:p>
            <w:pPr>
              <w:spacing w:after="0" w:line="240" w:lineRule="auto"/>
            </w:pPr>
            <w:r>
              <w:rPr>
                <w:rFonts w:ascii="Aptos" w:hAnsi="Aptos"/>
                <w:b w:val="0"/>
                <w:color w:val="191919"/>
                <w:sz w:val="17"/>
              </w:rPr>
              <w:t>Resilience, social connection, and peer support</w:t>
            </w:r>
          </w:p>
        </w:tc>
        <w:tc>
          <w:tcPr>
            <w:tcW w:type="dxa" w:w="6984"/>
            <w:vAlign w:val="center"/>
            <w:tcMar>
              <w:top w:w="95" w:type="dxa"/>
              <w:start w:w="105" w:type="dxa"/>
              <w:bottom w:w="95" w:type="dxa"/>
              <w:end w:w="105" w:type="dxa"/>
            </w:tcMar>
          </w:tcPr>
          <w:p>
            <w:pPr>
              <w:spacing w:after="0" w:line="240" w:lineRule="auto"/>
            </w:pPr>
            <w:r>
              <w:rPr>
                <w:rFonts w:ascii="Aptos" w:hAnsi="Aptos"/>
                <w:b w:val="0"/>
                <w:color w:val="191919"/>
                <w:sz w:val="17"/>
              </w:rPr>
              <w:t>Guided practice in recovering after mistakes, identifying a trusted support person, and starting a direct conversation. This would not certify or replace a league peer-support program.</w:t>
            </w:r>
          </w:p>
        </w:tc>
      </w:tr>
      <w:tr>
        <w:trPr>
          <w:cantSplit/>
        </w:trPr>
        <w:tc>
          <w:tcPr>
            <w:tcW w:type="dxa" w:w="3240"/>
            <w:vAlign w:val="center"/>
            <w:tcMar>
              <w:top w:w="95" w:type="dxa"/>
              <w:start w:w="105" w:type="dxa"/>
              <w:bottom w:w="95" w:type="dxa"/>
              <w:end w:w="105" w:type="dxa"/>
            </w:tcMar>
            <w:shd w:fill="F7F2F0"/>
          </w:tcPr>
          <w:p>
            <w:pPr>
              <w:spacing w:after="0" w:line="240" w:lineRule="auto"/>
            </w:pPr>
            <w:r>
              <w:rPr>
                <w:rFonts w:ascii="Aptos" w:hAnsi="Aptos"/>
                <w:b w:val="0"/>
                <w:color w:val="191919"/>
                <w:sz w:val="17"/>
              </w:rPr>
              <w:t>Team learning and program evaluation</w:t>
            </w:r>
          </w:p>
        </w:tc>
        <w:tc>
          <w:tcPr>
            <w:tcW w:type="dxa" w:w="6984"/>
            <w:vAlign w:val="center"/>
            <w:tcMar>
              <w:top w:w="95" w:type="dxa"/>
              <w:start w:w="105" w:type="dxa"/>
              <w:bottom w:w="95" w:type="dxa"/>
              <w:end w:w="105" w:type="dxa"/>
            </w:tcMar>
            <w:shd w:fill="F7F2F0"/>
          </w:tcPr>
          <w:p>
            <w:pPr>
              <w:spacing w:after="0" w:line="240" w:lineRule="auto"/>
            </w:pPr>
            <w:r>
              <w:rPr>
                <w:rFonts w:ascii="Aptos" w:hAnsi="Aptos"/>
                <w:b w:val="0"/>
                <w:color w:val="191919"/>
                <w:sz w:val="17"/>
              </w:rPr>
              <w:t>A small pilot with anonymous usefulness and confidence feedback, followed by an aggregate summary for the designated team contact. This is program feedback, not a clinical assessment or proof of performance outcomes.</w:t>
            </w:r>
          </w:p>
        </w:tc>
      </w:tr>
    </w:tbl>
    <w:p>
      <w:pPr>
        <w:spacing w:after="20"/>
      </w:pPr>
    </w:p>
    <w:p>
      <w:pPr>
        <w:spacing w:after="100" w:line="252" w:lineRule="auto"/>
      </w:pPr>
      <w:r>
        <w:rPr>
          <w:rFonts w:ascii="Aptos" w:hAnsi="Aptos"/>
          <w:b w:val="0"/>
          <w:color w:val="191919"/>
          <w:sz w:val="20"/>
        </w:rPr>
        <w:t>Recommended NFL positioning: propose R.E.A.C.T. as an optional skill-practice module coordinated with Player Engagement or Player Development and reviewed by the team’s designated clinical or mental performance staff. Ask what existing education the team already delivers and where a short applied workshop would add value. If an athlete needs clinical, medical, or crisis support, follow the team’s established referral pathway.</w:t>
      </w:r>
    </w:p>
    <w:p>
      <w:pPr>
        <w:pStyle w:val="Heading2"/>
        <w:keepNext/>
        <w:spacing w:before="140" w:after="80"/>
      </w:pPr>
      <w:r>
        <w:rPr>
          <w:rFonts w:ascii="Aptos" w:hAnsi="Aptos"/>
          <w:b/>
          <w:color w:val="191919"/>
          <w:sz w:val="22"/>
        </w:rPr>
        <w:t>Related NBA and NBPA programs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76"/>
        <w:gridCol w:w="7848"/>
      </w:tblGrid>
      <w:tr>
        <w:trPr>
          <w:cantSplit/>
        </w:trPr>
        <w:tc>
          <w:tcPr>
            <w:tcW w:type="dxa" w:w="2376"/>
            <w:vAlign w:val="center"/>
            <w:tcMar>
              <w:top w:w="95" w:type="dxa"/>
              <w:start w:w="105" w:type="dxa"/>
              <w:bottom w:w="95" w:type="dxa"/>
              <w:end w:w="105" w:type="dxa"/>
            </w:tcMar>
            <w:shd w:fill="9E1B32"/>
          </w:tcPr>
          <w:p>
            <w:pPr>
              <w:keepNext/>
              <w:spacing w:after="0"/>
            </w:pPr>
            <w:r>
              <w:rPr>
                <w:rFonts w:ascii="Aptos" w:hAnsi="Aptos"/>
                <w:b/>
                <w:color w:val="FFFFFF"/>
                <w:sz w:val="18"/>
              </w:rPr>
              <w:t>Program</w:t>
            </w:r>
          </w:p>
        </w:tc>
        <w:tc>
          <w:tcPr>
            <w:tcW w:type="dxa" w:w="7848"/>
            <w:vAlign w:val="center"/>
            <w:tcMar>
              <w:top w:w="95" w:type="dxa"/>
              <w:start w:w="105" w:type="dxa"/>
              <w:bottom w:w="95" w:type="dxa"/>
              <w:end w:w="105" w:type="dxa"/>
            </w:tcMar>
            <w:shd w:fill="9E1B32"/>
          </w:tcPr>
          <w:p>
            <w:pPr>
              <w:keepNext/>
              <w:spacing w:after="0"/>
            </w:pPr>
            <w:r>
              <w:rPr>
                <w:rFonts w:ascii="Aptos" w:hAnsi="Aptos"/>
                <w:b/>
                <w:color w:val="FFFFFF"/>
                <w:sz w:val="18"/>
              </w:rPr>
              <w:t>What it does and how R.E.A.C.T. relates</w:t>
            </w:r>
          </w:p>
        </w:tc>
      </w:tr>
      <w:tr>
        <w:trPr>
          <w:cantSplit/>
        </w:trPr>
        <w:tc>
          <w:tcPr>
            <w:tcW w:type="dxa" w:w="2376"/>
            <w:vAlign w:val="center"/>
            <w:tcMar>
              <w:top w:w="95" w:type="dxa"/>
              <w:start w:w="105" w:type="dxa"/>
              <w:bottom w:w="95" w:type="dxa"/>
              <w:end w:w="105" w:type="dxa"/>
            </w:tcMar>
          </w:tcPr>
          <w:p>
            <w:pPr>
              <w:spacing w:after="0" w:line="240" w:lineRule="auto"/>
            </w:pPr>
            <w:r>
              <w:rPr>
                <w:rFonts w:ascii="Aptos" w:hAnsi="Aptos"/>
                <w:b w:val="0"/>
                <w:color w:val="191919"/>
                <w:sz w:val="17"/>
              </w:rPr>
              <w:t>NBA Mind Health</w:t>
            </w:r>
          </w:p>
        </w:tc>
        <w:tc>
          <w:tcPr>
            <w:tcW w:type="dxa" w:w="7848"/>
            <w:vAlign w:val="center"/>
            <w:tcMar>
              <w:top w:w="95" w:type="dxa"/>
              <w:start w:w="105" w:type="dxa"/>
              <w:bottom w:w="95" w:type="dxa"/>
              <w:end w:w="105" w:type="dxa"/>
            </w:tcMar>
          </w:tcPr>
          <w:p>
            <w:pPr>
              <w:spacing w:after="0" w:line="240" w:lineRule="auto"/>
            </w:pPr>
            <w:r>
              <w:rPr>
                <w:rFonts w:ascii="Aptos" w:hAnsi="Aptos"/>
                <w:b w:val="0"/>
                <w:color w:val="191919"/>
                <w:sz w:val="17"/>
              </w:rPr>
              <w:t>A league mental health, wellness, and performance program supporting NBA, WNBA, G League, Basketball Africa League, and 2K League communities. It provides guidance, education, clinical support, and help integrating qualified mental health and mental performance professionals. R.E.A.C.T. could offer team-based skill rehearsal that works alongside those professionals.</w:t>
            </w:r>
          </w:p>
        </w:tc>
      </w:tr>
      <w:tr>
        <w:trPr>
          <w:cantSplit/>
        </w:trPr>
        <w:tc>
          <w:tcPr>
            <w:tcW w:type="dxa" w:w="2376"/>
            <w:vAlign w:val="center"/>
            <w:tcMar>
              <w:top w:w="95" w:type="dxa"/>
              <w:start w:w="105" w:type="dxa"/>
              <w:bottom w:w="95" w:type="dxa"/>
              <w:end w:w="105" w:type="dxa"/>
            </w:tcMar>
            <w:shd w:fill="F7F2F0"/>
          </w:tcPr>
          <w:p>
            <w:pPr>
              <w:spacing w:after="0" w:line="240" w:lineRule="auto"/>
            </w:pPr>
            <w:r>
              <w:rPr>
                <w:rFonts w:ascii="Aptos" w:hAnsi="Aptos"/>
                <w:b w:val="0"/>
                <w:color w:val="191919"/>
                <w:sz w:val="17"/>
              </w:rPr>
              <w:t>NBPA Player Health and Wellbeing</w:t>
            </w:r>
          </w:p>
        </w:tc>
        <w:tc>
          <w:tcPr>
            <w:tcW w:type="dxa" w:w="7848"/>
            <w:vAlign w:val="center"/>
            <w:tcMar>
              <w:top w:w="95" w:type="dxa"/>
              <w:start w:w="105" w:type="dxa"/>
              <w:bottom w:w="95" w:type="dxa"/>
              <w:end w:w="105" w:type="dxa"/>
            </w:tcMar>
            <w:shd w:fill="F7F2F0"/>
          </w:tcPr>
          <w:p>
            <w:pPr>
              <w:spacing w:after="0" w:line="240" w:lineRule="auto"/>
            </w:pPr>
            <w:r>
              <w:rPr>
                <w:rFonts w:ascii="Aptos" w:hAnsi="Aptos"/>
                <w:b w:val="0"/>
                <w:color w:val="191919"/>
                <w:sz w:val="17"/>
              </w:rPr>
              <w:t>A confidential player-association service that offers check-ins, referrals to therapists, psychiatrists, or sports performance consultants, telehealth or in-person support, and crisis support. It is principally a support and referral resource; R.E.A.C.T. is a facilitated educational pilot.</w:t>
            </w:r>
          </w:p>
        </w:tc>
      </w:tr>
      <w:tr>
        <w:trPr>
          <w:cantSplit/>
        </w:trPr>
        <w:tc>
          <w:tcPr>
            <w:tcW w:type="dxa" w:w="2376"/>
            <w:vAlign w:val="center"/>
            <w:tcMar>
              <w:top w:w="95" w:type="dxa"/>
              <w:start w:w="105" w:type="dxa"/>
              <w:bottom w:w="95" w:type="dxa"/>
              <w:end w:w="105" w:type="dxa"/>
            </w:tcMar>
          </w:tcPr>
          <w:p>
            <w:pPr>
              <w:spacing w:after="0" w:line="240" w:lineRule="auto"/>
            </w:pPr>
            <w:r>
              <w:rPr>
                <w:rFonts w:ascii="Aptos" w:hAnsi="Aptos"/>
                <w:b w:val="0"/>
                <w:color w:val="191919"/>
                <w:sz w:val="17"/>
              </w:rPr>
              <w:t>NFL Player Engagement</w:t>
            </w:r>
          </w:p>
        </w:tc>
        <w:tc>
          <w:tcPr>
            <w:tcW w:type="dxa" w:w="7848"/>
            <w:vAlign w:val="center"/>
            <w:tcMar>
              <w:top w:w="95" w:type="dxa"/>
              <w:start w:w="105" w:type="dxa"/>
              <w:bottom w:w="95" w:type="dxa"/>
              <w:end w:w="105" w:type="dxa"/>
            </w:tcMar>
          </w:tcPr>
          <w:p>
            <w:pPr>
              <w:spacing w:after="0" w:line="240" w:lineRule="auto"/>
            </w:pPr>
            <w:r>
              <w:rPr>
                <w:rFonts w:ascii="Aptos" w:hAnsi="Aptos"/>
                <w:b w:val="0"/>
                <w:color w:val="191919"/>
                <w:sz w:val="17"/>
              </w:rPr>
              <w:t>A player development system spanning continuing education, financial literacy, professional development, and personal development during and after a player’s career. R.E.A.C.T.’s strongest connection is personal development and transition preparation.</w:t>
            </w:r>
          </w:p>
        </w:tc>
      </w:tr>
    </w:tbl>
    <w:p>
      <w:pPr>
        <w:spacing w:after="20"/>
      </w:pPr>
    </w:p>
    <w:p>
      <w:pPr>
        <w:pStyle w:val="Heading2"/>
        <w:keepNext/>
        <w:spacing w:before="140" w:after="80"/>
      </w:pPr>
      <w:r>
        <w:rPr>
          <w:rFonts w:ascii="Aptos" w:hAnsi="Aptos"/>
          <w:b/>
          <w:color w:val="191919"/>
          <w:sz w:val="22"/>
        </w:rPr>
        <w:t>Official program references</w:t>
      </w:r>
    </w:p>
    <w:p>
      <w:pPr>
        <w:pStyle w:val="ListBullet"/>
        <w:spacing w:after="40" w:line="240" w:lineRule="auto"/>
      </w:pPr>
      <w:r>
        <w:rPr>
          <w:rFonts w:ascii="Aptos" w:hAnsi="Aptos"/>
          <w:b w:val="0"/>
          <w:color w:val="191919"/>
          <w:sz w:val="16"/>
        </w:rPr>
        <w:t>NFL Total Wellness: https://operations.nfl.com/programs-initiatives/player-development-partnership/total-wellness</w:t>
      </w:r>
    </w:p>
    <w:p>
      <w:pPr>
        <w:pStyle w:val="ListBullet"/>
        <w:spacing w:after="40" w:line="240" w:lineRule="auto"/>
      </w:pPr>
      <w:r>
        <w:rPr>
          <w:rFonts w:ascii="Aptos" w:hAnsi="Aptos"/>
          <w:b w:val="0"/>
          <w:color w:val="191919"/>
          <w:sz w:val="16"/>
        </w:rPr>
        <w:t>NFL Player Engagement: https://operations.nfl.com/programs-initiatives/player-development-partnership/player-engagement</w:t>
      </w:r>
    </w:p>
    <w:p>
      <w:pPr>
        <w:pStyle w:val="ListBullet"/>
        <w:spacing w:after="40" w:line="240" w:lineRule="auto"/>
      </w:pPr>
      <w:r>
        <w:rPr>
          <w:rFonts w:ascii="Aptos" w:hAnsi="Aptos"/>
          <w:b w:val="0"/>
          <w:color w:val="191919"/>
          <w:sz w:val="16"/>
        </w:rPr>
        <w:t>NFL Comprehensive Mental Health and Wellness Committee: https://www.nfl.com/news/comprehensive-mental-health-and-wellness-committee</w:t>
      </w:r>
    </w:p>
    <w:p>
      <w:pPr>
        <w:pStyle w:val="ListBullet"/>
        <w:spacing w:after="40" w:line="240" w:lineRule="auto"/>
      </w:pPr>
      <w:r>
        <w:rPr>
          <w:rFonts w:ascii="Aptos" w:hAnsi="Aptos"/>
          <w:b w:val="0"/>
          <w:color w:val="191919"/>
          <w:sz w:val="16"/>
        </w:rPr>
        <w:t>NBA Mind Health and program overview: https://mindhealth.nba.com/ and https://www.nba.com/news/mental-health-awareness-qa-dr-kensa-gunter</w:t>
      </w:r>
    </w:p>
    <w:p>
      <w:pPr>
        <w:pStyle w:val="ListBullet"/>
        <w:spacing w:after="40" w:line="240" w:lineRule="auto"/>
      </w:pPr>
      <w:r>
        <w:rPr>
          <w:rFonts w:ascii="Aptos" w:hAnsi="Aptos"/>
          <w:b w:val="0"/>
          <w:color w:val="191919"/>
          <w:sz w:val="16"/>
        </w:rPr>
        <w:t>NBPA Player Health and Wellbeing: https://teampd.nbpa.com/posts/player-health-and-wellness</w:t>
      </w:r>
    </w:p>
    <w:sectPr w:rsidR="00FC693F" w:rsidRPr="0006063C" w:rsidSect="00034616">
      <w:headerReference w:type="default" r:id="rId9"/>
      <w:footerReference w:type="default" r:id="rId10"/>
      <w:pgSz w:w="12240" w:h="15840"/>
      <w:pgMar w:top="979" w:right="1123" w:bottom="936" w:left="1123" w:header="720" w:footer="720" w:gutter="0"/>
      <w:cols w:space="720"/>
      <w:docGrid w:linePitch="360"/>
    </w:sectPr>
    <w:p>
      <w:pPr>
        <w:pStyle w:val="Heading1"/>
      </w:pPr>
      <w:r>
        <w:t>Wearable Data and R.E.A.C.T.</w:t>
      </w:r>
    </w:p>
    <w:p>
      <w:r>
        <w:t>R.E.A.C.T. can complement team-approved wearable technology, including platforms such as WHOOP, when a team already uses it. A wearable may help an athlete or authorized team staff notice patterns in physiological signals and recovery. R.E.A.C.T. helps athletes practice what to do with that awareness: regulate, choose a controllable next action, maintain useful routines, connect with support, and prepare for change.</w:t>
      </w:r>
    </w:p>
    <w:p>
      <w:r>
        <w:t>WHOOP describes its Stress Monitor as using signals such as heart rate and heart-rate variability to estimate physiological stress. These measures can reflect the body’s response, but they do not identify the cause of a change or directly measure an athlete’s emotions. Training load, sleep, travel, illness, and other factors may influence the readings. R.E.A.C.T. therefore treats wearable information as one possible prompt for reflection, not as a diagnosis or a stand-alone account of an athlete’s wellbeing.</w:t>
      </w:r>
    </w:p>
    <w:tbl>
      <w:tblPr>
        <w:tblStyle w:val="LightShading-Accent1"/>
        <w:tblW w:type="auto" w:w="0"/>
        <w:jc w:val="center"/>
        <w:tblLayout w:type="fixed"/>
        <w:tblLook w:firstColumn="1" w:firstRow="1" w:lastColumn="0" w:lastRow="0" w:noHBand="0" w:noVBand="1" w:val="04A0"/>
      </w:tblPr>
      <w:tblGrid>
        <w:gridCol w:w="3384"/>
        <w:gridCol w:w="6120"/>
      </w:tblGrid>
      <w:tr>
        <w:tc>
          <w:tcPr>
            <w:tcW w:type="dxa" w:w="4997"/>
            <w:vAlign w:val="center"/>
            <w:shd w:fill="A6192E"/>
          </w:tcPr>
          <w:p>
            <w:pPr>
              <w:spacing w:after="60"/>
            </w:pPr>
            <w:r>
              <w:rPr>
                <w:b/>
                <w:color w:val="FFFFFF"/>
                <w:sz w:val="18"/>
              </w:rPr>
              <w:t>Wearable may help notice</w:t>
            </w:r>
          </w:p>
        </w:tc>
        <w:tc>
          <w:tcPr>
            <w:tcW w:type="dxa" w:w="4997"/>
            <w:vAlign w:val="center"/>
            <w:shd w:fill="A6192E"/>
          </w:tcPr>
          <w:p>
            <w:pPr>
              <w:spacing w:after="60"/>
            </w:pPr>
            <w:r>
              <w:rPr>
                <w:b/>
                <w:color w:val="FFFFFF"/>
                <w:sz w:val="18"/>
              </w:rPr>
              <w:t>R.E.A.C.T. helps athletes practice</w:t>
            </w:r>
          </w:p>
        </w:tc>
      </w:tr>
      <w:tr>
        <w:tc>
          <w:tcPr>
            <w:tcW w:type="dxa" w:w="3384"/>
            <w:vAlign w:val="center"/>
            <w:shd w:fill="FFFFFF"/>
          </w:tcPr>
          <w:p>
            <w:pPr>
              <w:spacing w:after="60"/>
            </w:pPr>
            <w:r>
              <w:rPr>
                <w:sz w:val="18"/>
              </w:rPr>
              <w:t>Changes in physiological stress or recovery signals</w:t>
            </w:r>
          </w:p>
        </w:tc>
        <w:tc>
          <w:tcPr>
            <w:tcW w:type="dxa" w:w="6120"/>
            <w:vAlign w:val="center"/>
            <w:shd w:fill="FFFFFF"/>
          </w:tcPr>
          <w:p>
            <w:pPr>
              <w:spacing w:after="60"/>
            </w:pPr>
            <w:r>
              <w:rPr>
                <w:sz w:val="18"/>
              </w:rPr>
              <w:t>Emotion: notice pressure cues, pause, regulate, and choose a useful next action.</w:t>
            </w:r>
          </w:p>
        </w:tc>
      </w:tr>
      <w:tr>
        <w:tc>
          <w:tcPr>
            <w:tcW w:type="dxa" w:w="3384"/>
            <w:vAlign w:val="center"/>
            <w:shd w:fill="F6F1F1"/>
          </w:tcPr>
          <w:p>
            <w:pPr>
              <w:spacing w:after="60"/>
            </w:pPr>
            <w:r>
              <w:rPr>
                <w:sz w:val="18"/>
              </w:rPr>
              <w:t>Patterns around sleep, preparation, and training demands</w:t>
            </w:r>
          </w:p>
        </w:tc>
        <w:tc>
          <w:tcPr>
            <w:tcW w:type="dxa" w:w="6120"/>
            <w:vAlign w:val="center"/>
            <w:shd w:fill="F6F1F1"/>
          </w:tcPr>
          <w:p>
            <w:pPr>
              <w:spacing w:after="60"/>
            </w:pPr>
            <w:r>
              <w:rPr>
                <w:sz w:val="18"/>
              </w:rPr>
              <w:t>Activity: build realistic preparation and recovery routines that support consistency.</w:t>
            </w:r>
          </w:p>
        </w:tc>
      </w:tr>
      <w:tr>
        <w:tc>
          <w:tcPr>
            <w:tcW w:type="dxa" w:w="3384"/>
            <w:vAlign w:val="center"/>
            <w:shd w:fill="FFFFFF"/>
          </w:tcPr>
          <w:p>
            <w:pPr>
              <w:spacing w:after="60"/>
            </w:pPr>
            <w:r>
              <w:rPr>
                <w:sz w:val="18"/>
              </w:rPr>
              <w:t>Periods when an athlete may want additional support</w:t>
            </w:r>
          </w:p>
        </w:tc>
        <w:tc>
          <w:tcPr>
            <w:tcW w:type="dxa" w:w="6120"/>
            <w:vAlign w:val="center"/>
            <w:shd w:fill="FFFFFF"/>
          </w:tcPr>
          <w:p>
            <w:pPr>
              <w:spacing w:after="60"/>
            </w:pPr>
            <w:r>
              <w:rPr>
                <w:sz w:val="18"/>
              </w:rPr>
              <w:t>Connection: identify a trusted person and practice communicating a need.</w:t>
            </w:r>
          </w:p>
        </w:tc>
      </w:tr>
      <w:tr>
        <w:tc>
          <w:tcPr>
            <w:tcW w:type="dxa" w:w="3384"/>
            <w:vAlign w:val="center"/>
            <w:shd w:fill="F6F1F1"/>
          </w:tcPr>
          <w:p>
            <w:pPr>
              <w:spacing w:after="60"/>
            </w:pPr>
            <w:r>
              <w:rPr>
                <w:sz w:val="18"/>
              </w:rPr>
              <w:t>Changes in role, injury status, season, or career stage</w:t>
            </w:r>
          </w:p>
        </w:tc>
        <w:tc>
          <w:tcPr>
            <w:tcW w:type="dxa" w:w="6120"/>
            <w:vAlign w:val="center"/>
            <w:shd w:fill="F6F1F1"/>
          </w:tcPr>
          <w:p>
            <w:pPr>
              <w:spacing w:after="60"/>
            </w:pPr>
            <w:r>
              <w:rPr>
                <w:sz w:val="18"/>
              </w:rPr>
              <w:t>Resilience and Transition: respond to setbacks, adapt routines, and plan the next step.</w:t>
            </w:r>
          </w:p>
        </w:tc>
      </w:tr>
    </w:tbl>
    <w:p>
      <w:pPr>
        <w:pStyle w:val="Heading2"/>
      </w:pPr>
      <w:r>
        <w:t>Pilot boundaries and coordination</w:t>
      </w:r>
    </w:p>
    <w:p>
      <w:r>
        <w:t>The pilot remains device-independent; athletes do not need to own or wear a device. R.E.A.C.T. does not require access to individual wearable dashboards, collect biometric data, interpret individual readings, or report athlete-level data to a team. If a team wishes to connect the workshop to an existing wearable initiative, its authorized performance, medical, or clinical staff should explain the measures and determine any permitted data use under team policy and athlete consent. R.E.A.C.T. uses athlete reflection, voluntary participation, and aggregate program feedback. Clinical, medical, or crisis needs follow the team’s established referral process.</w:t>
      </w:r>
    </w:p>
    <w:p>
      <w:pPr>
        <w:pStyle w:val="Heading2"/>
      </w:pPr>
      <w:r>
        <w:t>Practical integration option</w:t>
      </w:r>
    </w:p>
    <w:p>
      <w:r>
        <w:t>Before delivery, ask whether the team uses wearable data and whether staff want the workshop linked to an existing education or recovery routine. If so, use only team-approved, non-identifying examples. For instance, athletes can reflect privately on a demanding week, notice how sleep and preparation felt, and select one reset or routine to test. The team receives no individual device scores as part of this pilot.</w:t>
      </w:r>
    </w:p>
    <w:p>
      <w:pPr>
        <w:pStyle w:val="Heading1"/>
        <w:keepNext/>
        <w:pageBreakBefore/>
      </w:pPr>
      <w:r>
        <w:t>Published Research Foundation</w:t>
      </w:r>
    </w:p>
    <w:p>
      <w:r>
        <w:t>R.E.A.C.T.’s development was examined in Dr. Jonathean Reese’s 2026 Doctor of Social Work comprehensive project, “Innovating Through Staff Readiness: Development and Evaluation of the R.E.A.C.T. Education Seminar for Foster Care Organizations” (California Baptist University; ProQuest Publication No. 32857244). The project combined a scoping review of structured physical activity and youth wellbeing with stakeholder engagement and a continuous quality improvement evaluation of staff readiness at one Olive Crest STRTP.</w:t>
      </w:r>
    </w:p>
    <w:p>
      <w:r>
        <w:t>In the post-seminar evaluation (n=8), staff reported favorable ratings for knowledge (M=4.54/5), confidence and shared language (M=4.27), applicability and usefulness (M=4.43), and organizational readiness (M=4.45); perceived barriers were relatively low (M=2.28). These are preliminary, single-site post-seminar perceptions. They support the feasibility and readiness focus of the work in that setting; they do not establish changes in youth outcomes.</w:t>
      </w:r>
    </w:p>
    <w:p>
      <w:pPr>
        <w:pStyle w:val="Heading2"/>
      </w:pPr>
      <w:r>
        <w:t>Relevance to the athlete pilot</w:t>
      </w:r>
    </w:p>
    <w:p>
      <w:r>
        <w:t>The research informs the athlete program’s emphasis on emotional regulation, structured routines, resilience, connection, and attention to the implementation environment. The study was conducted in foster-care settings; it did not evaluate college or professional athletes, athlete performance, or wearable technology. The athlete program is a context-specific application of the R.E.A.C.T. framework that should be evaluated with athletes on its own terms.</w:t>
      </w:r>
    </w:p>
    <w:p>
      <w:pPr>
        <w:spacing w:after="80"/>
      </w:pPr>
      <w:r>
        <w:t xml:space="preserve">Published project: </w:t>
      </w:r>
      <w:hyperlink r:id="rId11">
        <w:r>
          <w:rPr>
            <w:color w:val="0563C1"/>
            <w:u w:val="single"/>
          </w:rPr>
          <w:t>Read the ProQuest record</w:t>
        </w:r>
      </w:hyperlink>
    </w:p>
    <w:p>
      <w:pPr>
        <w:pStyle w:val="Heading1"/>
        <w:keepNext/>
        <w:spacing w:before="240" w:after="100"/>
      </w:pPr>
      <w:r>
        <w:rPr>
          <w:rFonts w:ascii="Aptos" w:hAnsi="Aptos"/>
          <w:b/>
          <w:color w:val="191919"/>
          <w:sz w:val="30"/>
        </w:rPr>
        <w:t>Core workshop plan</w:t>
      </w:r>
    </w:p>
    <w:p>
      <w:pPr>
        <w:spacing w:before="0" w:after="100" w:line="259" w:lineRule="auto"/>
      </w:pPr>
      <w:r>
        <w:rPr>
          <w:rFonts w:ascii="Aptos" w:hAnsi="Aptos"/>
          <w:color w:val="191919"/>
          <w:sz w:val="21"/>
        </w:rPr>
        <w:t>Recommended first engagement: a 75-minute interactive team workshop titled “Respond, Reset, and Execute: R.E.A.C.T. Under Pressure.” The facilitator adjusts examples, language, and activities to the team’s sport, season, age, and culture.</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331"/>
        <w:gridCol w:w="3331"/>
        <w:gridCol w:w="3331"/>
      </w:tblGrid>
      <w:tr>
        <w:trPr>
          <w:cantSplit/>
        </w:trPr>
        <w:tc>
          <w:tcPr>
            <w:tcW w:type="dxa" w:w="936"/>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Time</w:t>
            </w:r>
          </w:p>
        </w:tc>
        <w:tc>
          <w:tcPr>
            <w:tcW w:type="dxa" w:w="1944"/>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Segment</w:t>
            </w:r>
          </w:p>
        </w:tc>
        <w:tc>
          <w:tcPr>
            <w:tcW w:type="dxa" w:w="7344"/>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Purpose and activity</w:t>
            </w:r>
          </w:p>
        </w:tc>
      </w:tr>
      <w:tr>
        <w:trPr>
          <w:cantSplit/>
        </w:trPr>
        <w:tc>
          <w:tcPr>
            <w:tcW w:type="dxa" w:w="936"/>
            <w:vAlign w:val="center"/>
            <w:tcMar>
              <w:top w:w="100" w:type="dxa"/>
              <w:start w:w="120" w:type="dxa"/>
              <w:bottom w:w="100" w:type="dxa"/>
              <w:end w:w="120" w:type="dxa"/>
            </w:tcMar>
          </w:tcPr>
          <w:p>
            <w:pPr>
              <w:widowControl/>
              <w:spacing w:before="0" w:after="0" w:line="245" w:lineRule="auto"/>
            </w:pPr>
            <w:r>
              <w:rPr>
                <w:rFonts w:ascii="Aptos" w:hAnsi="Aptos"/>
                <w:color w:val="191919"/>
                <w:sz w:val="17"/>
              </w:rPr>
              <w:t>0–8 min</w:t>
            </w:r>
          </w:p>
        </w:tc>
        <w:tc>
          <w:tcPr>
            <w:tcW w:type="dxa" w:w="1944"/>
            <w:vAlign w:val="center"/>
            <w:tcMar>
              <w:top w:w="100" w:type="dxa"/>
              <w:start w:w="120" w:type="dxa"/>
              <w:bottom w:w="100" w:type="dxa"/>
              <w:end w:w="120" w:type="dxa"/>
            </w:tcMar>
          </w:tcPr>
          <w:p>
            <w:pPr>
              <w:widowControl/>
              <w:spacing w:before="0" w:after="0" w:line="245" w:lineRule="auto"/>
            </w:pPr>
            <w:r>
              <w:rPr>
                <w:rFonts w:ascii="Aptos" w:hAnsi="Aptos"/>
                <w:color w:val="191919"/>
                <w:sz w:val="17"/>
              </w:rPr>
              <w:t>Welcome and frame</w:t>
            </w:r>
          </w:p>
        </w:tc>
        <w:tc>
          <w:tcPr>
            <w:tcW w:type="dxa" w:w="7344"/>
            <w:vAlign w:val="center"/>
            <w:tcMar>
              <w:top w:w="100" w:type="dxa"/>
              <w:start w:w="120" w:type="dxa"/>
              <w:bottom w:w="100" w:type="dxa"/>
              <w:end w:w="120" w:type="dxa"/>
            </w:tcMar>
          </w:tcPr>
          <w:p>
            <w:pPr>
              <w:widowControl/>
              <w:spacing w:before="0" w:after="0" w:line="245" w:lineRule="auto"/>
            </w:pPr>
            <w:r>
              <w:rPr>
                <w:rFonts w:ascii="Aptos" w:hAnsi="Aptos"/>
                <w:color w:val="191919"/>
                <w:sz w:val="17"/>
              </w:rPr>
              <w:t>Set the purpose, explain the educational scope, agree on participation norms, and invite athletes to name common pressure points.</w:t>
            </w:r>
          </w:p>
        </w:tc>
      </w:tr>
      <w:tr>
        <w:trPr>
          <w:cantSplit/>
        </w:trPr>
        <w:tc>
          <w:tcPr>
            <w:tcW w:type="dxa" w:w="936"/>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8–18 min</w:t>
            </w:r>
          </w:p>
        </w:tc>
        <w:tc>
          <w:tcPr>
            <w:tcW w:type="dxa" w:w="194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Pressure and response</w:t>
            </w:r>
          </w:p>
        </w:tc>
        <w:tc>
          <w:tcPr>
            <w:tcW w:type="dxa" w:w="734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Map a common performance moment: trigger, reaction, consequence. Distinguish controllable actions from outcomes.</w:t>
            </w:r>
          </w:p>
        </w:tc>
      </w:tr>
      <w:tr>
        <w:trPr>
          <w:cantSplit/>
        </w:trPr>
        <w:tc>
          <w:tcPr>
            <w:tcW w:type="dxa" w:w="936"/>
            <w:vAlign w:val="center"/>
            <w:tcMar>
              <w:top w:w="100" w:type="dxa"/>
              <w:start w:w="120" w:type="dxa"/>
              <w:bottom w:w="100" w:type="dxa"/>
              <w:end w:w="120" w:type="dxa"/>
            </w:tcMar>
          </w:tcPr>
          <w:p>
            <w:pPr>
              <w:widowControl/>
              <w:spacing w:before="0" w:after="0" w:line="245" w:lineRule="auto"/>
            </w:pPr>
            <w:r>
              <w:rPr>
                <w:rFonts w:ascii="Aptos" w:hAnsi="Aptos"/>
                <w:color w:val="191919"/>
                <w:sz w:val="17"/>
              </w:rPr>
              <w:t>18–32 min</w:t>
            </w:r>
          </w:p>
        </w:tc>
        <w:tc>
          <w:tcPr>
            <w:tcW w:type="dxa" w:w="1944"/>
            <w:vAlign w:val="center"/>
            <w:tcMar>
              <w:top w:w="100" w:type="dxa"/>
              <w:start w:w="120" w:type="dxa"/>
              <w:bottom w:w="100" w:type="dxa"/>
              <w:end w:w="120" w:type="dxa"/>
            </w:tcMar>
          </w:tcPr>
          <w:p>
            <w:pPr>
              <w:widowControl/>
              <w:spacing w:before="0" w:after="0" w:line="245" w:lineRule="auto"/>
            </w:pPr>
            <w:r>
              <w:rPr>
                <w:rFonts w:ascii="Aptos" w:hAnsi="Aptos"/>
                <w:color w:val="191919"/>
                <w:sz w:val="17"/>
              </w:rPr>
              <w:t>R.E.A.C.T. model</w:t>
            </w:r>
          </w:p>
        </w:tc>
        <w:tc>
          <w:tcPr>
            <w:tcW w:type="dxa" w:w="7344"/>
            <w:vAlign w:val="center"/>
            <w:tcMar>
              <w:top w:w="100" w:type="dxa"/>
              <w:start w:w="120" w:type="dxa"/>
              <w:bottom w:w="100" w:type="dxa"/>
              <w:end w:w="120" w:type="dxa"/>
            </w:tcMar>
          </w:tcPr>
          <w:p>
            <w:pPr>
              <w:widowControl/>
              <w:spacing w:before="0" w:after="0" w:line="245" w:lineRule="auto"/>
            </w:pPr>
            <w:r>
              <w:rPr>
                <w:rFonts w:ascii="Aptos" w:hAnsi="Aptos"/>
                <w:color w:val="191919"/>
                <w:sz w:val="17"/>
              </w:rPr>
              <w:t>Introduce Resilience, Emotion, Activity, Connection, and Transition with athlete-centered examples.</w:t>
            </w:r>
          </w:p>
        </w:tc>
      </w:tr>
      <w:tr>
        <w:trPr>
          <w:cantSplit/>
        </w:trPr>
        <w:tc>
          <w:tcPr>
            <w:tcW w:type="dxa" w:w="936"/>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32–47 min</w:t>
            </w:r>
          </w:p>
        </w:tc>
        <w:tc>
          <w:tcPr>
            <w:tcW w:type="dxa" w:w="194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Reset practice</w:t>
            </w:r>
          </w:p>
        </w:tc>
        <w:tc>
          <w:tcPr>
            <w:tcW w:type="dxa" w:w="734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Teach a brief reset: pause; take a steady breath; name the controllable; choose the next useful action. Rehearse with a low-stakes sport scenario.</w:t>
            </w:r>
          </w:p>
        </w:tc>
      </w:tr>
      <w:tr>
        <w:trPr>
          <w:cantSplit/>
        </w:trPr>
        <w:tc>
          <w:tcPr>
            <w:tcW w:type="dxa" w:w="936"/>
            <w:vAlign w:val="center"/>
            <w:tcMar>
              <w:top w:w="100" w:type="dxa"/>
              <w:start w:w="120" w:type="dxa"/>
              <w:bottom w:w="100" w:type="dxa"/>
              <w:end w:w="120" w:type="dxa"/>
            </w:tcMar>
          </w:tcPr>
          <w:p>
            <w:pPr>
              <w:widowControl/>
              <w:spacing w:before="0" w:after="0" w:line="245" w:lineRule="auto"/>
            </w:pPr>
            <w:r>
              <w:rPr>
                <w:rFonts w:ascii="Aptos" w:hAnsi="Aptos"/>
                <w:color w:val="191919"/>
                <w:sz w:val="17"/>
              </w:rPr>
              <w:t>47–60 min</w:t>
            </w:r>
          </w:p>
        </w:tc>
        <w:tc>
          <w:tcPr>
            <w:tcW w:type="dxa" w:w="1944"/>
            <w:vAlign w:val="center"/>
            <w:tcMar>
              <w:top w:w="100" w:type="dxa"/>
              <w:start w:w="120" w:type="dxa"/>
              <w:bottom w:w="100" w:type="dxa"/>
              <w:end w:w="120" w:type="dxa"/>
            </w:tcMar>
          </w:tcPr>
          <w:p>
            <w:pPr>
              <w:widowControl/>
              <w:spacing w:before="0" w:after="0" w:line="245" w:lineRule="auto"/>
            </w:pPr>
            <w:r>
              <w:rPr>
                <w:rFonts w:ascii="Aptos" w:hAnsi="Aptos"/>
                <w:color w:val="191919"/>
                <w:sz w:val="17"/>
              </w:rPr>
              <w:t>Consistency plan</w:t>
            </w:r>
          </w:p>
        </w:tc>
        <w:tc>
          <w:tcPr>
            <w:tcW w:type="dxa" w:w="7344"/>
            <w:vAlign w:val="center"/>
            <w:tcMar>
              <w:top w:w="100" w:type="dxa"/>
              <w:start w:w="120" w:type="dxa"/>
              <w:bottom w:w="100" w:type="dxa"/>
              <w:end w:w="120" w:type="dxa"/>
            </w:tcMar>
          </w:tcPr>
          <w:p>
            <w:pPr>
              <w:widowControl/>
              <w:spacing w:before="0" w:after="0" w:line="245" w:lineRule="auto"/>
            </w:pPr>
            <w:r>
              <w:rPr>
                <w:rFonts w:ascii="Aptos" w:hAnsi="Aptos"/>
                <w:color w:val="191919"/>
                <w:sz w:val="17"/>
              </w:rPr>
              <w:t>Athletes draft a simple before/during/after routine for an upcoming practice, competition, or demanding week.</w:t>
            </w:r>
          </w:p>
        </w:tc>
      </w:tr>
      <w:tr>
        <w:trPr>
          <w:cantSplit/>
        </w:trPr>
        <w:tc>
          <w:tcPr>
            <w:tcW w:type="dxa" w:w="936"/>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60–69 min</w:t>
            </w:r>
          </w:p>
        </w:tc>
        <w:tc>
          <w:tcPr>
            <w:tcW w:type="dxa" w:w="194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Connection and support</w:t>
            </w:r>
          </w:p>
        </w:tc>
        <w:tc>
          <w:tcPr>
            <w:tcW w:type="dxa" w:w="734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Identify one teammate, coach, or support person to approach and practice a direct, respectful request for support.</w:t>
            </w:r>
          </w:p>
        </w:tc>
      </w:tr>
      <w:tr>
        <w:trPr>
          <w:cantSplit/>
        </w:trPr>
        <w:tc>
          <w:tcPr>
            <w:tcW w:type="dxa" w:w="936"/>
            <w:vAlign w:val="center"/>
            <w:tcMar>
              <w:top w:w="100" w:type="dxa"/>
              <w:start w:w="120" w:type="dxa"/>
              <w:bottom w:w="100" w:type="dxa"/>
              <w:end w:w="120" w:type="dxa"/>
            </w:tcMar>
          </w:tcPr>
          <w:p>
            <w:pPr>
              <w:widowControl/>
              <w:spacing w:before="0" w:after="0" w:line="245" w:lineRule="auto"/>
            </w:pPr>
            <w:r>
              <w:rPr>
                <w:rFonts w:ascii="Aptos" w:hAnsi="Aptos"/>
                <w:color w:val="191919"/>
                <w:sz w:val="17"/>
              </w:rPr>
              <w:t>69–75 min</w:t>
            </w:r>
          </w:p>
        </w:tc>
        <w:tc>
          <w:tcPr>
            <w:tcW w:type="dxa" w:w="1944"/>
            <w:vAlign w:val="center"/>
            <w:tcMar>
              <w:top w:w="100" w:type="dxa"/>
              <w:start w:w="120" w:type="dxa"/>
              <w:bottom w:w="100" w:type="dxa"/>
              <w:end w:w="120" w:type="dxa"/>
            </w:tcMar>
          </w:tcPr>
          <w:p>
            <w:pPr>
              <w:widowControl/>
              <w:spacing w:before="0" w:after="0" w:line="245" w:lineRule="auto"/>
            </w:pPr>
            <w:r>
              <w:rPr>
                <w:rFonts w:ascii="Aptos" w:hAnsi="Aptos"/>
                <w:color w:val="191919"/>
                <w:sz w:val="17"/>
              </w:rPr>
              <w:t>Commitment and close</w:t>
            </w:r>
          </w:p>
        </w:tc>
        <w:tc>
          <w:tcPr>
            <w:tcW w:type="dxa" w:w="7344"/>
            <w:vAlign w:val="center"/>
            <w:tcMar>
              <w:top w:w="100" w:type="dxa"/>
              <w:start w:w="120" w:type="dxa"/>
              <w:bottom w:w="100" w:type="dxa"/>
              <w:end w:w="120" w:type="dxa"/>
            </w:tcMar>
          </w:tcPr>
          <w:p>
            <w:pPr>
              <w:widowControl/>
              <w:spacing w:before="0" w:after="0" w:line="245" w:lineRule="auto"/>
            </w:pPr>
            <w:r>
              <w:rPr>
                <w:rFonts w:ascii="Aptos" w:hAnsi="Aptos"/>
                <w:color w:val="191919"/>
                <w:sz w:val="17"/>
              </w:rPr>
              <w:t>Each athlete chooses one skill to test. Complete an anonymous two-minute feedback form.</w:t>
            </w:r>
          </w:p>
        </w:tc>
      </w:tr>
    </w:tbl>
    <w:p>
      <w:pPr>
        <w:spacing w:after="20"/>
      </w:pPr>
    </w:p>
    <w:p>
      <w:pPr>
        <w:pStyle w:val="Heading2"/>
        <w:keepNext/>
        <w:spacing w:before="160" w:after="100"/>
      </w:pPr>
      <w:r>
        <w:rPr>
          <w:rFonts w:ascii="Aptos" w:hAnsi="Aptos"/>
          <w:b/>
          <w:color w:val="191919"/>
          <w:sz w:val="23"/>
        </w:rPr>
        <w:t>Facilitator reset routine</w:t>
      </w:r>
    </w:p>
    <w:p>
      <w:pPr>
        <w:spacing w:before="0" w:after="100" w:line="259" w:lineRule="auto"/>
      </w:pPr>
      <w:r>
        <w:rPr>
          <w:rFonts w:ascii="Aptos" w:hAnsi="Aptos"/>
          <w:color w:val="191919"/>
          <w:sz w:val="21"/>
        </w:rPr>
        <w:t>Pause. Breathe steadily. Name what is controllable. Choose the next useful action. Athletes practice the routine in a scenario relevant to their team, then personalize the words they will use. The routine is a performance skill, not a promise to eliminate stress or guarantee results.</w:t>
      </w:r>
    </w:p>
    <w:p>
      <w:pPr>
        <w:pStyle w:val="Heading2"/>
        <w:keepNext/>
        <w:spacing w:before="160" w:after="100"/>
      </w:pPr>
      <w:r>
        <w:rPr>
          <w:rFonts w:ascii="Aptos" w:hAnsi="Aptos"/>
          <w:b/>
          <w:color w:val="191919"/>
          <w:sz w:val="23"/>
        </w:rPr>
        <w:t>Learning objectives</w:t>
      </w:r>
    </w:p>
    <w:p>
      <w:pPr>
        <w:pStyle w:val="ListBullet"/>
        <w:spacing w:after="40" w:line="250" w:lineRule="auto"/>
        <w:ind w:left="331" w:hanging="173"/>
      </w:pPr>
      <w:r>
        <w:rPr>
          <w:rFonts w:ascii="Aptos" w:hAnsi="Aptos"/>
          <w:color w:val="191919"/>
          <w:sz w:val="20"/>
        </w:rPr>
        <w:t>Describe one personal pressure cue and one response that supports their performance goals.</w:t>
      </w:r>
    </w:p>
    <w:p>
      <w:pPr>
        <w:pStyle w:val="ListBullet"/>
        <w:spacing w:after="40" w:line="250" w:lineRule="auto"/>
        <w:ind w:left="331" w:hanging="173"/>
      </w:pPr>
      <w:r>
        <w:rPr>
          <w:rFonts w:ascii="Aptos" w:hAnsi="Aptos"/>
          <w:color w:val="191919"/>
          <w:sz w:val="20"/>
        </w:rPr>
        <w:t>Demonstrate the four-step reset routine in a practice scenario.</w:t>
      </w:r>
    </w:p>
    <w:p>
      <w:pPr>
        <w:pStyle w:val="ListBullet"/>
        <w:spacing w:after="40" w:line="250" w:lineRule="auto"/>
        <w:ind w:left="331" w:hanging="173"/>
      </w:pPr>
      <w:r>
        <w:rPr>
          <w:rFonts w:ascii="Aptos" w:hAnsi="Aptos"/>
          <w:color w:val="191919"/>
          <w:sz w:val="20"/>
        </w:rPr>
        <w:t>Identify one repeatable preparation or recovery behavior to test over the next week.</w:t>
      </w:r>
    </w:p>
    <w:p>
      <w:pPr>
        <w:pStyle w:val="ListBullet"/>
        <w:spacing w:after="40" w:line="250" w:lineRule="auto"/>
        <w:ind w:left="331" w:hanging="173"/>
      </w:pPr>
      <w:r>
        <w:rPr>
          <w:rFonts w:ascii="Aptos" w:hAnsi="Aptos"/>
          <w:color w:val="191919"/>
          <w:sz w:val="20"/>
        </w:rPr>
        <w:t>Name one support person and a specific way to communicate a need.</w:t>
      </w:r>
    </w:p>
    <w:p>
      <w:pPr>
        <w:pStyle w:val="ListBullet"/>
        <w:spacing w:after="40" w:line="250" w:lineRule="auto"/>
        <w:ind w:left="331" w:hanging="173"/>
      </w:pPr>
      <w:r>
        <w:rPr>
          <w:rFonts w:ascii="Aptos" w:hAnsi="Aptos"/>
          <w:color w:val="191919"/>
          <w:sz w:val="20"/>
        </w:rPr>
        <w:t>Identify a current or upcoming transition and one action that can help them prepare.</w:t>
      </w:r>
    </w:p>
    <w:p>
      <w:pPr>
        <w:pStyle w:val="Heading1"/>
        <w:keepNext/>
        <w:spacing w:before="240" w:after="100"/>
      </w:pPr>
      <w:r>
        <w:rPr>
          <w:rFonts w:ascii="Aptos" w:hAnsi="Aptos"/>
          <w:b/>
          <w:color w:val="191919"/>
          <w:sz w:val="30"/>
        </w:rPr>
        <w:t>Optional four-session follow-up</w:t>
      </w:r>
    </w:p>
    <w:p>
      <w:pPr>
        <w:spacing w:before="0" w:after="100" w:line="259" w:lineRule="auto"/>
      </w:pPr>
      <w:r>
        <w:rPr>
          <w:rFonts w:ascii="Aptos" w:hAnsi="Aptos"/>
          <w:color w:val="191919"/>
          <w:sz w:val="21"/>
        </w:rPr>
        <w:t>The follow-up series turns the workshop into a short pilot cycle. Sessions can be held weekly, biweekly, or during existing team development time. Each closes with one small practice assignment that athletes can test before the next meeting.</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331"/>
        <w:gridCol w:w="3331"/>
        <w:gridCol w:w="3331"/>
      </w:tblGrid>
      <w:tr>
        <w:trPr>
          <w:cantSplit/>
        </w:trPr>
        <w:tc>
          <w:tcPr>
            <w:tcW w:type="dxa" w:w="1872"/>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Session</w:t>
            </w:r>
          </w:p>
        </w:tc>
        <w:tc>
          <w:tcPr>
            <w:tcW w:type="dxa" w:w="3384"/>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Focus</w:t>
            </w:r>
          </w:p>
        </w:tc>
        <w:tc>
          <w:tcPr>
            <w:tcW w:type="dxa" w:w="4968"/>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Practice and take-away</w:t>
            </w:r>
          </w:p>
        </w:tc>
      </w:tr>
      <w:tr>
        <w:trPr>
          <w:cantSplit/>
        </w:trPr>
        <w:tc>
          <w:tcPr>
            <w:tcW w:type="dxa" w:w="1872"/>
            <w:vAlign w:val="center"/>
            <w:tcMar>
              <w:top w:w="100" w:type="dxa"/>
              <w:start w:w="120" w:type="dxa"/>
              <w:bottom w:w="100" w:type="dxa"/>
              <w:end w:w="120" w:type="dxa"/>
            </w:tcMar>
          </w:tcPr>
          <w:p>
            <w:pPr>
              <w:widowControl/>
              <w:spacing w:before="0" w:after="0" w:line="245" w:lineRule="auto"/>
            </w:pPr>
            <w:r>
              <w:rPr>
                <w:rFonts w:ascii="Aptos" w:hAnsi="Aptos"/>
                <w:color w:val="191919"/>
                <w:sz w:val="17"/>
              </w:rPr>
              <w:t>1. Resilience and Emotion</w:t>
            </w:r>
          </w:p>
        </w:tc>
        <w:tc>
          <w:tcPr>
            <w:tcW w:type="dxa" w:w="3384"/>
            <w:vAlign w:val="center"/>
            <w:tcMar>
              <w:top w:w="100" w:type="dxa"/>
              <w:start w:w="120" w:type="dxa"/>
              <w:bottom w:w="100" w:type="dxa"/>
              <w:end w:w="120" w:type="dxa"/>
            </w:tcMar>
          </w:tcPr>
          <w:p>
            <w:pPr>
              <w:widowControl/>
              <w:spacing w:before="0" w:after="0" w:line="245" w:lineRule="auto"/>
            </w:pPr>
            <w:r>
              <w:rPr>
                <w:rFonts w:ascii="Aptos" w:hAnsi="Aptos"/>
                <w:color w:val="191919"/>
                <w:sz w:val="17"/>
              </w:rPr>
              <w:t>Responding to mistakes, pressure, and difficult stretches.</w:t>
            </w:r>
          </w:p>
        </w:tc>
        <w:tc>
          <w:tcPr>
            <w:tcW w:type="dxa" w:w="4968"/>
            <w:vAlign w:val="center"/>
            <w:tcMar>
              <w:top w:w="100" w:type="dxa"/>
              <w:start w:w="120" w:type="dxa"/>
              <w:bottom w:w="100" w:type="dxa"/>
              <w:end w:w="120" w:type="dxa"/>
            </w:tcMar>
          </w:tcPr>
          <w:p>
            <w:pPr>
              <w:widowControl/>
              <w:spacing w:before="0" w:after="0" w:line="245" w:lineRule="auto"/>
            </w:pPr>
            <w:r>
              <w:rPr>
                <w:rFonts w:ascii="Aptos" w:hAnsi="Aptos"/>
                <w:color w:val="191919"/>
                <w:sz w:val="17"/>
              </w:rPr>
              <w:t>Map a pressure moment; rehearse the reset; build a “next play” response plan.</w:t>
            </w:r>
          </w:p>
        </w:tc>
      </w:tr>
      <w:tr>
        <w:trPr>
          <w:cantSplit/>
        </w:trPr>
        <w:tc>
          <w:tcPr>
            <w:tcW w:type="dxa" w:w="187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2. Activity and consistency</w:t>
            </w:r>
          </w:p>
        </w:tc>
        <w:tc>
          <w:tcPr>
            <w:tcW w:type="dxa" w:w="338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Preparation, recovery habits, and routines under changing demands.</w:t>
            </w:r>
          </w:p>
        </w:tc>
        <w:tc>
          <w:tcPr>
            <w:tcW w:type="dxa" w:w="4968"/>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Create a realistic before/during/after routine; choose one behavior to test for seven days.</w:t>
            </w:r>
          </w:p>
        </w:tc>
      </w:tr>
      <w:tr>
        <w:trPr>
          <w:cantSplit/>
        </w:trPr>
        <w:tc>
          <w:tcPr>
            <w:tcW w:type="dxa" w:w="1872"/>
            <w:vAlign w:val="center"/>
            <w:tcMar>
              <w:top w:w="100" w:type="dxa"/>
              <w:start w:w="120" w:type="dxa"/>
              <w:bottom w:w="100" w:type="dxa"/>
              <w:end w:w="120" w:type="dxa"/>
            </w:tcMar>
          </w:tcPr>
          <w:p>
            <w:pPr>
              <w:widowControl/>
              <w:spacing w:before="0" w:after="0" w:line="245" w:lineRule="auto"/>
            </w:pPr>
            <w:r>
              <w:rPr>
                <w:rFonts w:ascii="Aptos" w:hAnsi="Aptos"/>
                <w:color w:val="191919"/>
                <w:sz w:val="17"/>
              </w:rPr>
              <w:t>3. Connection and communication</w:t>
            </w:r>
          </w:p>
        </w:tc>
        <w:tc>
          <w:tcPr>
            <w:tcW w:type="dxa" w:w="3384"/>
            <w:vAlign w:val="center"/>
            <w:tcMar>
              <w:top w:w="100" w:type="dxa"/>
              <w:start w:w="120" w:type="dxa"/>
              <w:bottom w:w="100" w:type="dxa"/>
              <w:end w:w="120" w:type="dxa"/>
            </w:tcMar>
          </w:tcPr>
          <w:p>
            <w:pPr>
              <w:widowControl/>
              <w:spacing w:before="0" w:after="0" w:line="245" w:lineRule="auto"/>
            </w:pPr>
            <w:r>
              <w:rPr>
                <w:rFonts w:ascii="Aptos" w:hAnsi="Aptos"/>
                <w:color w:val="191919"/>
                <w:sz w:val="17"/>
              </w:rPr>
              <w:t>Trust, communication, mentorship, and asking for support.</w:t>
            </w:r>
          </w:p>
        </w:tc>
        <w:tc>
          <w:tcPr>
            <w:tcW w:type="dxa" w:w="4968"/>
            <w:vAlign w:val="center"/>
            <w:tcMar>
              <w:top w:w="100" w:type="dxa"/>
              <w:start w:w="120" w:type="dxa"/>
              <w:bottom w:w="100" w:type="dxa"/>
              <w:end w:w="120" w:type="dxa"/>
            </w:tcMar>
          </w:tcPr>
          <w:p>
            <w:pPr>
              <w:widowControl/>
              <w:spacing w:before="0" w:after="0" w:line="245" w:lineRule="auto"/>
            </w:pPr>
            <w:r>
              <w:rPr>
                <w:rFonts w:ascii="Aptos" w:hAnsi="Aptos"/>
                <w:color w:val="191919"/>
                <w:sz w:val="17"/>
              </w:rPr>
              <w:t>Practice a direct conversation; map team and personal support resources.</w:t>
            </w:r>
          </w:p>
        </w:tc>
      </w:tr>
      <w:tr>
        <w:trPr>
          <w:cantSplit/>
        </w:trPr>
        <w:tc>
          <w:tcPr>
            <w:tcW w:type="dxa" w:w="187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4. Transition and next steps</w:t>
            </w:r>
          </w:p>
        </w:tc>
        <w:tc>
          <w:tcPr>
            <w:tcW w:type="dxa" w:w="338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Changes in role, season, injury status, school, professional opportunity, or life after sport.</w:t>
            </w:r>
          </w:p>
        </w:tc>
        <w:tc>
          <w:tcPr>
            <w:tcW w:type="dxa" w:w="4968"/>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Complete a transition map: what is changing, what remains steady, who can help, and the next action.</w:t>
            </w:r>
          </w:p>
        </w:tc>
      </w:tr>
    </w:tbl>
    <w:p>
      <w:pPr>
        <w:spacing w:after="20"/>
      </w:pPr>
    </w:p>
    <w:p>
      <w:pPr>
        <w:pStyle w:val="Heading2"/>
        <w:keepNext/>
        <w:spacing w:before="160" w:after="100"/>
      </w:pPr>
      <w:r>
        <w:rPr>
          <w:rFonts w:ascii="Aptos" w:hAnsi="Aptos"/>
          <w:b/>
          <w:color w:val="191919"/>
          <w:sz w:val="23"/>
        </w:rPr>
        <w:t>Suggested session flow</w:t>
      </w:r>
    </w:p>
    <w:p>
      <w:pPr>
        <w:spacing w:before="0" w:after="100" w:line="259" w:lineRule="auto"/>
      </w:pPr>
      <w:r>
        <w:rPr>
          <w:rFonts w:ascii="Aptos" w:hAnsi="Aptos"/>
          <w:color w:val="191919"/>
          <w:sz w:val="21"/>
        </w:rPr>
        <w:t>For a 50-minute follow-up: 5 minutes for check-in; 10 minutes to review the prior practice; 20 minutes to teach and rehearse the new skill; 10 minutes to apply it to a team scenario; and 5 minutes to choose a next action and complete a brief reflection.</w:t>
      </w:r>
    </w:p>
    <w:p>
      <w:pPr>
        <w:pStyle w:val="Heading1"/>
        <w:keepNext/>
        <w:spacing w:before="240" w:after="100"/>
      </w:pPr>
      <w:r>
        <w:rPr>
          <w:rFonts w:ascii="Aptos" w:hAnsi="Aptos"/>
          <w:b/>
          <w:color w:val="191919"/>
          <w:sz w:val="30"/>
        </w:rPr>
        <w:t>Tailoring for college and professional teams</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97"/>
        <w:gridCol w:w="4997"/>
      </w:tblGrid>
      <w:tr>
        <w:trPr>
          <w:cantSplit/>
        </w:trPr>
        <w:tc>
          <w:tcPr>
            <w:tcW w:type="dxa" w:w="5112"/>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College teams</w:t>
            </w:r>
          </w:p>
        </w:tc>
        <w:tc>
          <w:tcPr>
            <w:tcW w:type="dxa" w:w="5112"/>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Professional teams</w:t>
            </w:r>
          </w:p>
        </w:tc>
      </w:tr>
      <w:tr>
        <w:trPr>
          <w:cantSplit/>
        </w:trPr>
        <w:tc>
          <w:tcPr>
            <w:tcW w:type="dxa" w:w="5112"/>
            <w:vAlign w:val="center"/>
            <w:tcMar>
              <w:top w:w="100" w:type="dxa"/>
              <w:start w:w="120" w:type="dxa"/>
              <w:bottom w:w="100" w:type="dxa"/>
              <w:end w:w="120" w:type="dxa"/>
            </w:tcMar>
          </w:tcPr>
          <w:p>
            <w:pPr>
              <w:widowControl/>
              <w:spacing w:before="0" w:after="0" w:line="245" w:lineRule="auto"/>
            </w:pPr>
            <w:r>
              <w:rPr>
                <w:rFonts w:ascii="Aptos" w:hAnsi="Aptos"/>
                <w:color w:val="191919"/>
                <w:sz w:val="17"/>
              </w:rPr>
              <w:t>Use examples involving balancing sport, academics, team role, relationships, and major life decisions.</w:t>
            </w:r>
          </w:p>
        </w:tc>
        <w:tc>
          <w:tcPr>
            <w:tcW w:type="dxa" w:w="5112"/>
            <w:vAlign w:val="center"/>
            <w:tcMar>
              <w:top w:w="100" w:type="dxa"/>
              <w:start w:w="120" w:type="dxa"/>
              <w:bottom w:w="100" w:type="dxa"/>
              <w:end w:w="120" w:type="dxa"/>
            </w:tcMar>
          </w:tcPr>
          <w:p>
            <w:pPr>
              <w:widowControl/>
              <w:spacing w:before="0" w:after="0" w:line="245" w:lineRule="auto"/>
            </w:pPr>
            <w:r>
              <w:rPr>
                <w:rFonts w:ascii="Aptos" w:hAnsi="Aptos"/>
                <w:color w:val="191919"/>
                <w:sz w:val="17"/>
              </w:rPr>
              <w:t>Use examples involving performance consistency, role changes, contract or roster uncertainty, injury-related change, and career longevity.</w:t>
            </w:r>
          </w:p>
        </w:tc>
      </w:tr>
      <w:tr>
        <w:trPr>
          <w:cantSplit/>
        </w:trPr>
        <w:tc>
          <w:tcPr>
            <w:tcW w:type="dxa" w:w="511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Emphasize communication with coaches and support staff, help-seeking, routines during travel and exams, and preparation for post-college options.</w:t>
            </w:r>
          </w:p>
        </w:tc>
        <w:tc>
          <w:tcPr>
            <w:tcW w:type="dxa" w:w="511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Emphasize routines through a long season, maintaining perspective through competition for roles, trusted support networks, and planning for career transitions.</w:t>
            </w:r>
          </w:p>
        </w:tc>
      </w:tr>
      <w:tr>
        <w:trPr>
          <w:cantSplit/>
        </w:trPr>
        <w:tc>
          <w:tcPr>
            <w:tcW w:type="dxa" w:w="5112"/>
            <w:vAlign w:val="center"/>
            <w:tcMar>
              <w:top w:w="100" w:type="dxa"/>
              <w:start w:w="120" w:type="dxa"/>
              <w:bottom w:w="100" w:type="dxa"/>
              <w:end w:w="120" w:type="dxa"/>
            </w:tcMar>
          </w:tcPr>
          <w:p>
            <w:pPr>
              <w:widowControl/>
              <w:spacing w:before="0" w:after="0" w:line="245" w:lineRule="auto"/>
            </w:pPr>
            <w:r>
              <w:rPr>
                <w:rFonts w:ascii="Aptos" w:hAnsi="Aptos"/>
                <w:color w:val="191919"/>
                <w:sz w:val="17"/>
              </w:rPr>
              <w:t>Coordinate with student-athlete development and existing counseling, sports medicine, and performance staff.</w:t>
            </w:r>
          </w:p>
        </w:tc>
        <w:tc>
          <w:tcPr>
            <w:tcW w:type="dxa" w:w="5112"/>
            <w:vAlign w:val="center"/>
            <w:tcMar>
              <w:top w:w="100" w:type="dxa"/>
              <w:start w:w="120" w:type="dxa"/>
              <w:bottom w:w="100" w:type="dxa"/>
              <w:end w:w="120" w:type="dxa"/>
            </w:tcMar>
          </w:tcPr>
          <w:p>
            <w:pPr>
              <w:widowControl/>
              <w:spacing w:before="0" w:after="0" w:line="245" w:lineRule="auto"/>
            </w:pPr>
            <w:r>
              <w:rPr>
                <w:rFonts w:ascii="Aptos" w:hAnsi="Aptos"/>
                <w:color w:val="191919"/>
                <w:sz w:val="17"/>
              </w:rPr>
              <w:t>Coordinate with player development, performance, medical, mental health, and other player support staff designated by the organization.</w:t>
            </w:r>
          </w:p>
        </w:tc>
      </w:tr>
      <w:tr>
        <w:trPr>
          <w:cantSplit/>
        </w:trPr>
        <w:tc>
          <w:tcPr>
            <w:tcW w:type="dxa" w:w="511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Use age-appropriate language and do not require disclosure of private or sensitive experiences.</w:t>
            </w:r>
          </w:p>
        </w:tc>
        <w:tc>
          <w:tcPr>
            <w:tcW w:type="dxa" w:w="511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Protect athlete privacy; use team-level themes in reporting and avoid attributing comments to named athletes without permission.</w:t>
            </w:r>
          </w:p>
        </w:tc>
      </w:tr>
    </w:tbl>
    <w:p>
      <w:pPr>
        <w:spacing w:after="20"/>
      </w:pPr>
    </w:p>
    <w:p>
      <w:pPr>
        <w:pStyle w:val="Heading2"/>
        <w:keepNext/>
        <w:spacing w:before="160" w:after="100"/>
      </w:pPr>
      <w:r>
        <w:rPr>
          <w:rFonts w:ascii="Aptos" w:hAnsi="Aptos"/>
          <w:b/>
          <w:color w:val="191919"/>
          <w:sz w:val="23"/>
        </w:rPr>
        <w:t>Pre-delivery customization</w:t>
      </w:r>
    </w:p>
    <w:p>
      <w:pPr>
        <w:pStyle w:val="ListBullet"/>
        <w:spacing w:after="40" w:line="250" w:lineRule="auto"/>
        <w:ind w:left="331" w:hanging="173"/>
      </w:pPr>
      <w:r>
        <w:rPr>
          <w:rFonts w:ascii="Aptos" w:hAnsi="Aptos"/>
          <w:color w:val="191919"/>
          <w:sz w:val="20"/>
        </w:rPr>
        <w:t>Confirm team level, sport, group size, schedule, facility, and preferred session length.</w:t>
      </w:r>
    </w:p>
    <w:p>
      <w:pPr>
        <w:pStyle w:val="ListBullet"/>
        <w:spacing w:after="40" w:line="250" w:lineRule="auto"/>
        <w:ind w:left="331" w:hanging="173"/>
      </w:pPr>
      <w:r>
        <w:rPr>
          <w:rFonts w:ascii="Aptos" w:hAnsi="Aptos"/>
          <w:color w:val="191919"/>
          <w:sz w:val="20"/>
        </w:rPr>
        <w:t>Ask the team contact to identify current performance and development priorities, without requesting confidential athlete records.</w:t>
      </w:r>
    </w:p>
    <w:p>
      <w:pPr>
        <w:pStyle w:val="ListBullet"/>
        <w:spacing w:after="40" w:line="250" w:lineRule="auto"/>
        <w:ind w:left="331" w:hanging="173"/>
      </w:pPr>
      <w:r>
        <w:rPr>
          <w:rFonts w:ascii="Aptos" w:hAnsi="Aptos"/>
          <w:color w:val="191919"/>
          <w:sz w:val="20"/>
        </w:rPr>
        <w:t>Agree on referral contacts and team procedures if an athlete requests clinical, medical, or crisis support.</w:t>
      </w:r>
    </w:p>
    <w:p>
      <w:pPr>
        <w:pStyle w:val="ListBullet"/>
        <w:spacing w:after="40" w:line="250" w:lineRule="auto"/>
        <w:ind w:left="331" w:hanging="173"/>
      </w:pPr>
      <w:r>
        <w:rPr>
          <w:rFonts w:ascii="Aptos" w:hAnsi="Aptos"/>
          <w:color w:val="191919"/>
          <w:sz w:val="20"/>
        </w:rPr>
        <w:t>Use team-approved scenarios and language; avoid sharing identifiable case examples.</w:t>
      </w:r>
    </w:p>
    <w:p>
      <w:pPr>
        <w:pStyle w:val="ListBullet"/>
        <w:spacing w:after="40" w:line="250" w:lineRule="auto"/>
        <w:ind w:left="331" w:hanging="173"/>
      </w:pPr>
      <w:r>
        <w:rPr>
          <w:rFonts w:ascii="Aptos" w:hAnsi="Aptos"/>
          <w:color w:val="191919"/>
          <w:sz w:val="20"/>
        </w:rPr>
        <w:t>Confirm whether feedback is anonymous and how aggregate findings will be shared.</w:t>
      </w:r>
    </w:p>
    <w:p>
      <w:pPr>
        <w:pStyle w:val="Heading1"/>
        <w:keepNext/>
        <w:spacing w:before="240" w:after="100"/>
      </w:pPr>
      <w:r>
        <w:rPr>
          <w:rFonts w:ascii="Aptos" w:hAnsi="Aptos"/>
          <w:b/>
          <w:color w:val="191919"/>
          <w:sz w:val="30"/>
        </w:rPr>
        <w:t>Implementation and evaluation</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331"/>
        <w:gridCol w:w="3331"/>
        <w:gridCol w:w="3331"/>
      </w:tblGrid>
      <w:tr>
        <w:trPr>
          <w:cantSplit/>
        </w:trPr>
        <w:tc>
          <w:tcPr>
            <w:tcW w:type="dxa" w:w="1152"/>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Step</w:t>
            </w:r>
          </w:p>
        </w:tc>
        <w:tc>
          <w:tcPr>
            <w:tcW w:type="dxa" w:w="5112"/>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Action</w:t>
            </w:r>
          </w:p>
        </w:tc>
        <w:tc>
          <w:tcPr>
            <w:tcW w:type="dxa" w:w="3960"/>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Output</w:t>
            </w:r>
          </w:p>
        </w:tc>
      </w:tr>
      <w:tr>
        <w:trPr>
          <w:cantSplit/>
        </w:trPr>
        <w:tc>
          <w:tcPr>
            <w:tcW w:type="dxa" w:w="1152"/>
            <w:vAlign w:val="center"/>
            <w:tcMar>
              <w:top w:w="100" w:type="dxa"/>
              <w:start w:w="120" w:type="dxa"/>
              <w:bottom w:w="100" w:type="dxa"/>
              <w:end w:w="120" w:type="dxa"/>
            </w:tcMar>
          </w:tcPr>
          <w:p>
            <w:pPr>
              <w:widowControl/>
              <w:spacing w:before="0" w:after="0" w:line="245" w:lineRule="auto"/>
            </w:pPr>
            <w:r>
              <w:rPr>
                <w:rFonts w:ascii="Aptos" w:hAnsi="Aptos"/>
                <w:color w:val="191919"/>
                <w:sz w:val="17"/>
              </w:rPr>
              <w:t>1. Discovery</w:t>
            </w:r>
          </w:p>
        </w:tc>
        <w:tc>
          <w:tcPr>
            <w:tcW w:type="dxa" w:w="5112"/>
            <w:vAlign w:val="center"/>
            <w:tcMar>
              <w:top w:w="100" w:type="dxa"/>
              <w:start w:w="120" w:type="dxa"/>
              <w:bottom w:w="100" w:type="dxa"/>
              <w:end w:w="120" w:type="dxa"/>
            </w:tcMar>
          </w:tcPr>
          <w:p>
            <w:pPr>
              <w:widowControl/>
              <w:spacing w:before="0" w:after="0" w:line="245" w:lineRule="auto"/>
            </w:pPr>
            <w:r>
              <w:rPr>
                <w:rFonts w:ascii="Aptos" w:hAnsi="Aptos"/>
                <w:color w:val="191919"/>
                <w:sz w:val="17"/>
              </w:rPr>
              <w:t>Brief planning conversation with team contact; clarify audience, goals, schedule, and existing resources.</w:t>
            </w:r>
          </w:p>
        </w:tc>
        <w:tc>
          <w:tcPr>
            <w:tcW w:type="dxa" w:w="3960"/>
            <w:vAlign w:val="center"/>
            <w:tcMar>
              <w:top w:w="100" w:type="dxa"/>
              <w:start w:w="120" w:type="dxa"/>
              <w:bottom w:w="100" w:type="dxa"/>
              <w:end w:w="120" w:type="dxa"/>
            </w:tcMar>
          </w:tcPr>
          <w:p>
            <w:pPr>
              <w:widowControl/>
              <w:spacing w:before="0" w:after="0" w:line="245" w:lineRule="auto"/>
            </w:pPr>
            <w:r>
              <w:rPr>
                <w:rFonts w:ascii="Aptos" w:hAnsi="Aptos"/>
                <w:color w:val="191919"/>
                <w:sz w:val="17"/>
              </w:rPr>
              <w:t>Agreed pilot scope and tailored examples.</w:t>
            </w:r>
          </w:p>
        </w:tc>
      </w:tr>
      <w:tr>
        <w:trPr>
          <w:cantSplit/>
        </w:trPr>
        <w:tc>
          <w:tcPr>
            <w:tcW w:type="dxa" w:w="115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2. Preparation</w:t>
            </w:r>
          </w:p>
        </w:tc>
        <w:tc>
          <w:tcPr>
            <w:tcW w:type="dxa" w:w="511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Adapt workshop materials and confirm room, technology, accessibility, and referral pathways.</w:t>
            </w:r>
          </w:p>
        </w:tc>
        <w:tc>
          <w:tcPr>
            <w:tcW w:type="dxa" w:w="3960"/>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Ready-to-deliver session plan.</w:t>
            </w:r>
          </w:p>
        </w:tc>
      </w:tr>
      <w:tr>
        <w:trPr>
          <w:cantSplit/>
        </w:trPr>
        <w:tc>
          <w:tcPr>
            <w:tcW w:type="dxa" w:w="1152"/>
            <w:vAlign w:val="center"/>
            <w:tcMar>
              <w:top w:w="100" w:type="dxa"/>
              <w:start w:w="120" w:type="dxa"/>
              <w:bottom w:w="100" w:type="dxa"/>
              <w:end w:w="120" w:type="dxa"/>
            </w:tcMar>
          </w:tcPr>
          <w:p>
            <w:pPr>
              <w:widowControl/>
              <w:spacing w:before="0" w:after="0" w:line="245" w:lineRule="auto"/>
            </w:pPr>
            <w:r>
              <w:rPr>
                <w:rFonts w:ascii="Aptos" w:hAnsi="Aptos"/>
                <w:color w:val="191919"/>
                <w:sz w:val="17"/>
              </w:rPr>
              <w:t>3. Delivery</w:t>
            </w:r>
          </w:p>
        </w:tc>
        <w:tc>
          <w:tcPr>
            <w:tcW w:type="dxa" w:w="5112"/>
            <w:vAlign w:val="center"/>
            <w:tcMar>
              <w:top w:w="100" w:type="dxa"/>
              <w:start w:w="120" w:type="dxa"/>
              <w:bottom w:w="100" w:type="dxa"/>
              <w:end w:w="120" w:type="dxa"/>
            </w:tcMar>
          </w:tcPr>
          <w:p>
            <w:pPr>
              <w:widowControl/>
              <w:spacing w:before="0" w:after="0" w:line="245" w:lineRule="auto"/>
            </w:pPr>
            <w:r>
              <w:rPr>
                <w:rFonts w:ascii="Aptos" w:hAnsi="Aptos"/>
                <w:color w:val="191919"/>
                <w:sz w:val="17"/>
              </w:rPr>
              <w:t>Facilitate the workshop or four-session pilot using discussion, individual reflection, and skill rehearsal.</w:t>
            </w:r>
          </w:p>
        </w:tc>
        <w:tc>
          <w:tcPr>
            <w:tcW w:type="dxa" w:w="3960"/>
            <w:vAlign w:val="center"/>
            <w:tcMar>
              <w:top w:w="100" w:type="dxa"/>
              <w:start w:w="120" w:type="dxa"/>
              <w:bottom w:w="100" w:type="dxa"/>
              <w:end w:w="120" w:type="dxa"/>
            </w:tcMar>
          </w:tcPr>
          <w:p>
            <w:pPr>
              <w:widowControl/>
              <w:spacing w:before="0" w:after="0" w:line="245" w:lineRule="auto"/>
            </w:pPr>
            <w:r>
              <w:rPr>
                <w:rFonts w:ascii="Aptos" w:hAnsi="Aptos"/>
                <w:color w:val="191919"/>
                <w:sz w:val="17"/>
              </w:rPr>
              <w:t>Athlete practice plans and take-away tools.</w:t>
            </w:r>
          </w:p>
        </w:tc>
      </w:tr>
      <w:tr>
        <w:trPr>
          <w:cantSplit/>
        </w:trPr>
        <w:tc>
          <w:tcPr>
            <w:tcW w:type="dxa" w:w="115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4. Feedback</w:t>
            </w:r>
          </w:p>
        </w:tc>
        <w:tc>
          <w:tcPr>
            <w:tcW w:type="dxa" w:w="5112"/>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Collect brief anonymous post-session responses; for a series, compare baseline and final self-ratings.</w:t>
            </w:r>
          </w:p>
        </w:tc>
        <w:tc>
          <w:tcPr>
            <w:tcW w:type="dxa" w:w="3960"/>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Aggregate feedback summary.</w:t>
            </w:r>
          </w:p>
        </w:tc>
      </w:tr>
      <w:tr>
        <w:trPr>
          <w:cantSplit/>
        </w:trPr>
        <w:tc>
          <w:tcPr>
            <w:tcW w:type="dxa" w:w="1152"/>
            <w:vAlign w:val="center"/>
            <w:tcMar>
              <w:top w:w="100" w:type="dxa"/>
              <w:start w:w="120" w:type="dxa"/>
              <w:bottom w:w="100" w:type="dxa"/>
              <w:end w:w="120" w:type="dxa"/>
            </w:tcMar>
          </w:tcPr>
          <w:p>
            <w:pPr>
              <w:widowControl/>
              <w:spacing w:before="0" w:after="0" w:line="245" w:lineRule="auto"/>
            </w:pPr>
            <w:r>
              <w:rPr>
                <w:rFonts w:ascii="Aptos" w:hAnsi="Aptos"/>
                <w:color w:val="191919"/>
                <w:sz w:val="17"/>
              </w:rPr>
              <w:t>5. Review</w:t>
            </w:r>
          </w:p>
        </w:tc>
        <w:tc>
          <w:tcPr>
            <w:tcW w:type="dxa" w:w="5112"/>
            <w:vAlign w:val="center"/>
            <w:tcMar>
              <w:top w:w="100" w:type="dxa"/>
              <w:start w:w="120" w:type="dxa"/>
              <w:bottom w:w="100" w:type="dxa"/>
              <w:end w:w="120" w:type="dxa"/>
            </w:tcMar>
          </w:tcPr>
          <w:p>
            <w:pPr>
              <w:widowControl/>
              <w:spacing w:before="0" w:after="0" w:line="245" w:lineRule="auto"/>
            </w:pPr>
            <w:r>
              <w:rPr>
                <w:rFonts w:ascii="Aptos" w:hAnsi="Aptos"/>
                <w:color w:val="191919"/>
                <w:sz w:val="17"/>
              </w:rPr>
              <w:t>Meet with the team contact to review fit, participation, perceived usefulness, and possible next steps.</w:t>
            </w:r>
          </w:p>
        </w:tc>
        <w:tc>
          <w:tcPr>
            <w:tcW w:type="dxa" w:w="3960"/>
            <w:vAlign w:val="center"/>
            <w:tcMar>
              <w:top w:w="100" w:type="dxa"/>
              <w:start w:w="120" w:type="dxa"/>
              <w:bottom w:w="100" w:type="dxa"/>
              <w:end w:w="120" w:type="dxa"/>
            </w:tcMar>
          </w:tcPr>
          <w:p>
            <w:pPr>
              <w:widowControl/>
              <w:spacing w:before="0" w:after="0" w:line="245" w:lineRule="auto"/>
            </w:pPr>
            <w:r>
              <w:rPr>
                <w:rFonts w:ascii="Aptos" w:hAnsi="Aptos"/>
                <w:color w:val="191919"/>
                <w:sz w:val="17"/>
              </w:rPr>
              <w:t>Short recommendations for continuation or adjustment.</w:t>
            </w:r>
          </w:p>
        </w:tc>
      </w:tr>
    </w:tbl>
    <w:p>
      <w:pPr>
        <w:spacing w:after="20"/>
      </w:pPr>
    </w:p>
    <w:p>
      <w:pPr>
        <w:pStyle w:val="Heading2"/>
        <w:keepNext/>
        <w:spacing w:before="160" w:after="100"/>
      </w:pPr>
      <w:r>
        <w:rPr>
          <w:rFonts w:ascii="Aptos" w:hAnsi="Aptos"/>
          <w:b/>
          <w:color w:val="191919"/>
          <w:sz w:val="23"/>
        </w:rPr>
        <w:t>Pilot feedback measures</w:t>
      </w:r>
    </w:p>
    <w:p>
      <w:pPr>
        <w:spacing w:before="0" w:after="100" w:line="259" w:lineRule="auto"/>
      </w:pPr>
      <w:r>
        <w:rPr>
          <w:rFonts w:ascii="Aptos" w:hAnsi="Aptos"/>
          <w:color w:val="191919"/>
          <w:sz w:val="21"/>
        </w:rPr>
        <w:t>Use a short, voluntary feedback form. For a single workshop, collect post-session usefulness and confidence ratings. For the four-session version, repeat the confidence items at the beginning and end. These are program feedback measures, not clinical screening tools or proof of performance outcomes.</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97"/>
        <w:gridCol w:w="4997"/>
      </w:tblGrid>
      <w:tr>
        <w:trPr>
          <w:cantSplit/>
        </w:trPr>
        <w:tc>
          <w:tcPr>
            <w:tcW w:type="dxa" w:w="7056"/>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Sample item</w:t>
            </w:r>
          </w:p>
        </w:tc>
        <w:tc>
          <w:tcPr>
            <w:tcW w:type="dxa" w:w="3168"/>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7"/>
              </w:rPr>
              <w:t>Response scale</w:t>
            </w:r>
          </w:p>
        </w:tc>
      </w:tr>
      <w:tr>
        <w:trPr>
          <w:cantSplit/>
        </w:trPr>
        <w:tc>
          <w:tcPr>
            <w:tcW w:type="dxa" w:w="7056"/>
            <w:vAlign w:val="center"/>
            <w:tcMar>
              <w:top w:w="100" w:type="dxa"/>
              <w:start w:w="120" w:type="dxa"/>
              <w:bottom w:w="100" w:type="dxa"/>
              <w:end w:w="120" w:type="dxa"/>
            </w:tcMar>
          </w:tcPr>
          <w:p>
            <w:pPr>
              <w:widowControl/>
              <w:spacing w:before="0" w:after="0" w:line="245" w:lineRule="auto"/>
            </w:pPr>
            <w:r>
              <w:rPr>
                <w:rFonts w:ascii="Aptos" w:hAnsi="Aptos"/>
                <w:color w:val="191919"/>
                <w:sz w:val="17"/>
              </w:rPr>
              <w:t>I can identify one action within my control when I feel pressure.</w:t>
            </w:r>
          </w:p>
        </w:tc>
        <w:tc>
          <w:tcPr>
            <w:tcW w:type="dxa" w:w="3168"/>
            <w:vAlign w:val="center"/>
            <w:tcMar>
              <w:top w:w="100" w:type="dxa"/>
              <w:start w:w="120" w:type="dxa"/>
              <w:bottom w:w="100" w:type="dxa"/>
              <w:end w:w="120" w:type="dxa"/>
            </w:tcMar>
          </w:tcPr>
          <w:p>
            <w:pPr>
              <w:widowControl/>
              <w:spacing w:before="0" w:after="0" w:line="245" w:lineRule="auto"/>
            </w:pPr>
            <w:r>
              <w:rPr>
                <w:rFonts w:ascii="Aptos" w:hAnsi="Aptos"/>
                <w:color w:val="191919"/>
                <w:sz w:val="17"/>
              </w:rPr>
              <w:t>1 Not yet – 5 Very confidently</w:t>
            </w:r>
          </w:p>
        </w:tc>
      </w:tr>
      <w:tr>
        <w:trPr>
          <w:cantSplit/>
        </w:trPr>
        <w:tc>
          <w:tcPr>
            <w:tcW w:type="dxa" w:w="7056"/>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I can use a short reset routine after a mistake or stressful moment.</w:t>
            </w:r>
          </w:p>
        </w:tc>
        <w:tc>
          <w:tcPr>
            <w:tcW w:type="dxa" w:w="3168"/>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1 Not yet – 5 Very confidently</w:t>
            </w:r>
          </w:p>
        </w:tc>
      </w:tr>
      <w:tr>
        <w:trPr>
          <w:cantSplit/>
        </w:trPr>
        <w:tc>
          <w:tcPr>
            <w:tcW w:type="dxa" w:w="7056"/>
            <w:vAlign w:val="center"/>
            <w:tcMar>
              <w:top w:w="100" w:type="dxa"/>
              <w:start w:w="120" w:type="dxa"/>
              <w:bottom w:w="100" w:type="dxa"/>
              <w:end w:w="120" w:type="dxa"/>
            </w:tcMar>
          </w:tcPr>
          <w:p>
            <w:pPr>
              <w:widowControl/>
              <w:spacing w:before="0" w:after="0" w:line="245" w:lineRule="auto"/>
            </w:pPr>
            <w:r>
              <w:rPr>
                <w:rFonts w:ascii="Aptos" w:hAnsi="Aptos"/>
                <w:color w:val="191919"/>
                <w:sz w:val="17"/>
              </w:rPr>
              <w:t>I have a routine I can use to support consistency this week.</w:t>
            </w:r>
          </w:p>
        </w:tc>
        <w:tc>
          <w:tcPr>
            <w:tcW w:type="dxa" w:w="3168"/>
            <w:vAlign w:val="center"/>
            <w:tcMar>
              <w:top w:w="100" w:type="dxa"/>
              <w:start w:w="120" w:type="dxa"/>
              <w:bottom w:w="100" w:type="dxa"/>
              <w:end w:w="120" w:type="dxa"/>
            </w:tcMar>
          </w:tcPr>
          <w:p>
            <w:pPr>
              <w:widowControl/>
              <w:spacing w:before="0" w:after="0" w:line="245" w:lineRule="auto"/>
            </w:pPr>
            <w:r>
              <w:rPr>
                <w:rFonts w:ascii="Aptos" w:hAnsi="Aptos"/>
                <w:color w:val="191919"/>
                <w:sz w:val="17"/>
              </w:rPr>
              <w:t>1 Not yet – 5 Very confidently</w:t>
            </w:r>
          </w:p>
        </w:tc>
      </w:tr>
      <w:tr>
        <w:trPr>
          <w:cantSplit/>
        </w:trPr>
        <w:tc>
          <w:tcPr>
            <w:tcW w:type="dxa" w:w="7056"/>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I know who I can approach for support and how to start the conversation.</w:t>
            </w:r>
          </w:p>
        </w:tc>
        <w:tc>
          <w:tcPr>
            <w:tcW w:type="dxa" w:w="3168"/>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1 Not yet – 5 Very confidently</w:t>
            </w:r>
          </w:p>
        </w:tc>
      </w:tr>
      <w:tr>
        <w:trPr>
          <w:cantSplit/>
        </w:trPr>
        <w:tc>
          <w:tcPr>
            <w:tcW w:type="dxa" w:w="7056"/>
            <w:vAlign w:val="center"/>
            <w:tcMar>
              <w:top w:w="100" w:type="dxa"/>
              <w:start w:w="120" w:type="dxa"/>
              <w:bottom w:w="100" w:type="dxa"/>
              <w:end w:w="120" w:type="dxa"/>
            </w:tcMar>
          </w:tcPr>
          <w:p>
            <w:pPr>
              <w:widowControl/>
              <w:spacing w:before="0" w:after="0" w:line="245" w:lineRule="auto"/>
            </w:pPr>
            <w:r>
              <w:rPr>
                <w:rFonts w:ascii="Aptos" w:hAnsi="Aptos"/>
                <w:color w:val="191919"/>
                <w:sz w:val="17"/>
              </w:rPr>
              <w:t>The session included a tool I expect to use.</w:t>
            </w:r>
          </w:p>
        </w:tc>
        <w:tc>
          <w:tcPr>
            <w:tcW w:type="dxa" w:w="3168"/>
            <w:vAlign w:val="center"/>
            <w:tcMar>
              <w:top w:w="100" w:type="dxa"/>
              <w:start w:w="120" w:type="dxa"/>
              <w:bottom w:w="100" w:type="dxa"/>
              <w:end w:w="120" w:type="dxa"/>
            </w:tcMar>
          </w:tcPr>
          <w:p>
            <w:pPr>
              <w:widowControl/>
              <w:spacing w:before="0" w:after="0" w:line="245" w:lineRule="auto"/>
            </w:pPr>
            <w:r>
              <w:rPr>
                <w:rFonts w:ascii="Aptos" w:hAnsi="Aptos"/>
                <w:color w:val="191919"/>
                <w:sz w:val="17"/>
              </w:rPr>
              <w:t>1 Strongly disagree – 5 Strongly agree</w:t>
            </w:r>
          </w:p>
        </w:tc>
      </w:tr>
      <w:tr>
        <w:trPr>
          <w:cantSplit/>
        </w:trPr>
        <w:tc>
          <w:tcPr>
            <w:tcW w:type="dxa" w:w="7056"/>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What is one idea or tool you plan to use?</w:t>
            </w:r>
          </w:p>
        </w:tc>
        <w:tc>
          <w:tcPr>
            <w:tcW w:type="dxa" w:w="3168"/>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7"/>
              </w:rPr>
              <w:t>Optional written response</w:t>
            </w:r>
          </w:p>
        </w:tc>
      </w:tr>
    </w:tbl>
    <w:p>
      <w:pPr>
        <w:spacing w:after="20"/>
      </w:pPr>
    </w:p>
    <w:p>
      <w:pPr>
        <w:spacing w:before="0" w:after="100" w:line="259" w:lineRule="auto"/>
      </w:pPr>
      <w:r>
        <w:rPr>
          <w:rFonts w:ascii="Aptos" w:hAnsi="Aptos"/>
          <w:color w:val="191919"/>
          <w:sz w:val="21"/>
        </w:rPr>
        <w:t>The summary should report participation count, average item ratings where appropriate, common anonymous themes, and suggested program adjustments. Do not report individual scores or identify athletes in the team summary.</w:t>
      </w:r>
    </w:p>
    <w:p>
      <w:pPr>
        <w:pStyle w:val="Heading1"/>
        <w:keepNext/>
        <w:spacing w:before="240" w:after="100"/>
      </w:pPr>
      <w:r>
        <w:rPr>
          <w:rFonts w:ascii="Aptos" w:hAnsi="Aptos"/>
          <w:b/>
          <w:color w:val="191919"/>
          <w:sz w:val="30"/>
        </w:rPr>
        <w:t>Role and scope</w:t>
      </w:r>
    </w:p>
    <w:p>
      <w:pPr>
        <w:spacing w:before="0" w:after="100" w:line="259" w:lineRule="auto"/>
      </w:pPr>
      <w:r>
        <w:rPr>
          <w:rFonts w:ascii="Aptos" w:hAnsi="Aptos"/>
          <w:color w:val="191919"/>
          <w:sz w:val="21"/>
        </w:rPr>
        <w:t>The facilitator provides education, coaching-oriented skill practice, and athlete development support. The program is not psychotherapy, psychological assessment, diagnosis, medical care, athletic training, or crisis response. It does not ask athletes to disclose trauma, health information, or other sensitive personal details. When an athlete needs support beyond the program, the facilitator follows the team’s agreed referral process and directs the athlete to the appropriate qualified professional or team resource.</w:t>
      </w:r>
    </w:p>
    <w:p>
      <w:pPr>
        <w:pStyle w:val="Heading2"/>
        <w:keepNext/>
        <w:spacing w:before="160" w:after="100"/>
      </w:pPr>
      <w:r>
        <w:rPr>
          <w:rFonts w:ascii="Aptos" w:hAnsi="Aptos"/>
          <w:b/>
          <w:color w:val="191919"/>
          <w:sz w:val="23"/>
        </w:rPr>
        <w:t>Facilitator background</w:t>
      </w:r>
    </w:p>
    <w:p>
      <w:pPr>
        <w:keepLines/>
        <w:spacing w:before="0" w:after="100" w:line="259" w:lineRule="auto"/>
      </w:pPr>
      <w:r>
        <w:rPr>
          <w:rFonts w:ascii="Aptos" w:hAnsi="Aptos"/>
          <w:color w:val="191919"/>
          <w:sz w:val="21"/>
        </w:rPr>
        <w:t>Dr. Jonathean Reese, DSW, MA Counseling Psychology, is an IFBB Pro Men’s Physique athlete, certified personal trainer, and nutrition coach. His work brings together high-performance sport, athlete coaching, counseling psychology education, social work practice, and workforce development. Through the R.E.A.C.T. framework, he helps athletes practice resilience, emotional regulation, disciplined routines, connection, and preparation for transition.</w:t>
      </w:r>
    </w:p>
    <w:p>
      <w:pPr>
        <w:pStyle w:val="Heading1"/>
        <w:keepNext/>
        <w:spacing w:before="240" w:after="100"/>
      </w:pPr>
      <w:r>
        <w:rPr>
          <w:rFonts w:ascii="Aptos" w:hAnsi="Aptos"/>
          <w:b/>
          <w:color w:val="191919"/>
          <w:sz w:val="30"/>
        </w:rPr>
        <w:t>Recommended next step</w:t>
      </w:r>
    </w:p>
    <w:p>
      <w:pPr>
        <w:spacing w:before="0" w:after="100" w:line="259" w:lineRule="auto"/>
      </w:pPr>
      <w:r>
        <w:rPr>
          <w:rFonts w:ascii="Aptos" w:hAnsi="Aptos"/>
          <w:color w:val="191919"/>
          <w:sz w:val="21"/>
        </w:rPr>
        <w:t>Begin with one 75-minute workshop for a team or athlete development group. If the team finds the session useful, offer the four-session follow-up as a small pilot. Before delivery, hold a short planning conversation with the team contact to tailor examples, confirm the right internal partners, and agree on how the feedback summary will be used.</w:t>
      </w:r>
    </w:p>
    <w:p>
      <w:pPr>
        <w:pStyle w:val="Heading1"/>
        <w:keepNext/>
        <w:spacing w:after="100" w:line="252" w:lineRule="auto"/>
      </w:pPr>
      <w:r>
        <w:rPr>
          <w:rFonts w:ascii="Aptos" w:hAnsi="Aptos"/>
          <w:b/>
          <w:i w:val="0"/>
          <w:color w:val="191919"/>
          <w:sz w:val="28"/>
        </w:rPr>
        <w:t>How to Present R.E.A.C.T. to a Team</w:t>
      </w:r>
    </w:p>
    <w:p>
      <w:pPr>
        <w:pStyle w:val="Heading2"/>
        <w:keepNext/>
        <w:spacing w:after="100" w:line="252" w:lineRule="auto"/>
      </w:pPr>
      <w:r>
        <w:rPr>
          <w:rFonts w:ascii="Aptos" w:hAnsi="Aptos"/>
          <w:b/>
          <w:i w:val="0"/>
          <w:color w:val="191919"/>
          <w:sz w:val="22"/>
        </w:rPr>
        <w:t>What services do you offer?</w:t>
      </w:r>
    </w:p>
    <w:p>
      <w:pPr>
        <w:spacing w:after="100" w:line="252" w:lineRule="auto"/>
      </w:pPr>
      <w:r>
        <w:rPr>
          <w:rFonts w:ascii="Aptos" w:hAnsi="Aptos"/>
          <w:b w:val="0"/>
          <w:i w:val="0"/>
          <w:color w:val="191919"/>
          <w:sz w:val="20"/>
        </w:rPr>
        <w:t>I offer the R.E.A.C.T. Athlete Performance and Resilience Pilot through the R.E.A.C.T. Performance Institute. It begins with a 60- to 90-minute interactive team workshop on responding to pressure, resetting after mistakes, maintaining consistent routines, communicating with support people, and preparing for transitions. If the team wants to continue, I can deliver a four-session follow-up on resilience and emotional regulation, preparation and consistency, connection and communication, and transitions. I tailor the examples to the team’s sport, schedule, and priorities.</w:t>
      </w:r>
    </w:p>
    <w:p>
      <w:pPr>
        <w:pStyle w:val="Heading2"/>
        <w:keepNext/>
        <w:spacing w:after="100" w:line="252" w:lineRule="auto"/>
      </w:pPr>
      <w:r>
        <w:rPr>
          <w:rFonts w:ascii="Aptos" w:hAnsi="Aptos"/>
          <w:b/>
          <w:i w:val="0"/>
          <w:color w:val="191919"/>
          <w:sz w:val="22"/>
        </w:rPr>
        <w:t>How are you helping NFL players?</w:t>
      </w:r>
    </w:p>
    <w:p>
      <w:pPr>
        <w:spacing w:after="100" w:line="252" w:lineRule="auto"/>
      </w:pPr>
      <w:r>
        <w:t>I help players practice simple skills they can use before a demanding situation, after a mistake, during a role change, or while preparing for a transition. Players rehearse a short reset routine, identify actions within their control, build a realistic preparation or recovery routine, and consider who they can approach for support. If a team already uses wearable technology such as WHOOP, R.E.A.C.T. can complement that existing effort by helping players turn awareness of physiological stress or recovery patterns into practical skills. The pilot does not require a wearable or access to individual biometric data. It is designed to work alongside the team’s existing Player Engagement, clinical, medical, and performance resources. If a player needs support beyond the workshop, I follow the team’s referral process.</w:t>
      </w:r>
    </w:p>
    <w:p>
      <w:pPr>
        <w:pStyle w:val="Heading2"/>
        <w:keepNext/>
        <w:spacing w:after="100" w:line="252" w:lineRule="auto"/>
      </w:pPr>
      <w:r>
        <w:rPr>
          <w:rFonts w:ascii="Aptos" w:hAnsi="Aptos"/>
          <w:b/>
          <w:i w:val="0"/>
          <w:color w:val="191919"/>
          <w:sz w:val="22"/>
        </w:rPr>
        <w:t>What outcomes can a team expect?</w:t>
      </w:r>
    </w:p>
    <w:p>
      <w:pPr>
        <w:spacing w:after="100" w:line="252" w:lineRule="auto"/>
      </w:pPr>
      <w:r>
        <w:rPr>
          <w:rFonts w:ascii="Aptos" w:hAnsi="Aptos"/>
          <w:b w:val="0"/>
          <w:i w:val="0"/>
          <w:color w:val="191919"/>
          <w:sz w:val="20"/>
        </w:rPr>
        <w:t>The pilot is designed to give players practical tools they can try right away. We can evaluate whether players report greater confidence using a reset routine, identifying a controllable next step, maintaining a routine, and reaching out to a support person. For a four-session pilot, we can compare brief self-ratings at the beginning and end, collect anonymous feedback, and provide the team contact with an aggregate summary of participation, perceived usefulness, common themes, and recommendations. These are pilot-level learning and feasibility outcomes, not evidence of improved statistics, fewer injuries, or clinical effects.</w:t>
      </w:r>
    </w:p>
    <w:p>
      <w:pPr>
        <w:pStyle w:val="Heading2"/>
        <w:keepNext/>
        <w:spacing w:after="100" w:line="252" w:lineRule="auto"/>
      </w:pPr>
      <w:r>
        <w:rPr>
          <w:rFonts w:ascii="Aptos" w:hAnsi="Aptos"/>
          <w:b/>
          <w:i w:val="0"/>
          <w:color w:val="191919"/>
          <w:sz w:val="22"/>
        </w:rPr>
        <w:t>What makes the program distinctive?</w:t>
      </w:r>
    </w:p>
    <w:p>
      <w:pPr>
        <w:spacing w:after="100" w:line="252" w:lineRule="auto"/>
      </w:pPr>
      <w:r>
        <w:rPr>
          <w:rFonts w:ascii="Aptos" w:hAnsi="Aptos"/>
          <w:b w:val="0"/>
          <w:i w:val="0"/>
          <w:color w:val="191919"/>
          <w:sz w:val="20"/>
        </w:rPr>
        <w:t>R.E.A.C.T. gives athletes and staff a shared structure: Resilience, Emotion, Activity, Connection, and Transition. It combines practical skill rehearsal with attention to the athlete’s wider development and career changes. My background brings together competitive sport and professional practice. I’m an IFBB Pro Men’s Physique athlete, coach, certified personal trainer and nutrition coach, and I hold a Doctor of Social Work and an MA in Counseling Psychology. I have also worked in social services and workforce development. That combination lets me bring firsthand experience in high-level competition together with a structured, team-ready program.</w:t>
      </w:r>
    </w:p>
    <w:p>
      <w:pPr>
        <w:pStyle w:val="Heading2"/>
        <w:keepNext/>
        <w:spacing w:after="100" w:line="252" w:lineRule="auto"/>
      </w:pPr>
      <w:r>
        <w:rPr>
          <w:rFonts w:ascii="Aptos" w:hAnsi="Aptos"/>
          <w:b/>
          <w:i w:val="0"/>
          <w:color w:val="191919"/>
          <w:sz w:val="22"/>
        </w:rPr>
        <w:t>What can you bring to the team?</w:t>
      </w:r>
    </w:p>
    <w:p>
      <w:pPr>
        <w:spacing w:after="100" w:line="252" w:lineRule="auto"/>
      </w:pPr>
      <w:r>
        <w:rPr>
          <w:rFonts w:ascii="Aptos" w:hAnsi="Aptos"/>
          <w:b w:val="0"/>
          <w:i w:val="0"/>
          <w:color w:val="191919"/>
          <w:sz w:val="20"/>
        </w:rPr>
        <w:t>I can bring a focused workshop that fits into an existing player development or wellness schedule, athlete-centered facilitation, practical take-away tools, and a simple feedback process. I can work with the team contact to adapt the session for rookies, veterans, players navigating a role or injury-related change, or athletes preparing for a career transition. I would first learn what the team already offers, then agree on where a short applied workshop could add value, who should review it, and what feedback would help the team.</w:t>
      </w:r>
    </w:p>
    <w:p>
      <w:pPr>
        <w:pStyle w:val="Heading2"/>
        <w:keepNext/>
        <w:spacing w:after="100" w:line="252" w:lineRule="auto"/>
      </w:pPr>
      <w:r>
        <w:rPr>
          <w:rFonts w:ascii="Aptos" w:hAnsi="Aptos"/>
          <w:b/>
          <w:i w:val="0"/>
          <w:color w:val="191919"/>
          <w:sz w:val="22"/>
        </w:rPr>
        <w:t>Short version</w:t>
      </w:r>
    </w:p>
    <w:p>
      <w:pPr>
        <w:spacing w:after="100" w:line="252" w:lineRule="auto"/>
      </w:pPr>
      <w:r>
        <w:t>“I offer R.E.A.C.T., a practical athlete-development pilot focused on resilience, emotional regulation, consistent routines, connection, and transitions. Players practice tools they can use around pressure and change, and the team receives an aggregate feedback summary after the pilot. Where a team already uses wearable technology, R.E.A.C.T. can complement it by helping players turn awareness of physiological stress and recovery patterns into practical skills; no device or individual wearable data is required. My background combines pro-level competition, coaching, a DSW, counseling psychology education, social work, and workforce development. I’d tailor the pilot to the team and coordinate with its existing player development and support staff.”</w:t>
      </w:r>
    </w:p>
    <w:p>
      <w:pPr>
        <w:pStyle w:val="Heading1"/>
        <w:keepNext/>
        <w:pageBreakBefore/>
        <w:spacing w:before="240" w:after="100"/>
      </w:pPr>
      <w:r>
        <w:rPr>
          <w:rFonts w:ascii="Aptos" w:hAnsi="Aptos"/>
          <w:b/>
          <w:color w:val="191919"/>
          <w:sz w:val="30"/>
        </w:rPr>
        <w:t>Athlete quick practice plan</w:t>
      </w:r>
    </w:p>
    <w:p>
      <w:pPr>
        <w:spacing w:before="0" w:after="100" w:line="259" w:lineRule="auto"/>
      </w:pPr>
      <w:r>
        <w:rPr>
          <w:rFonts w:ascii="Aptos" w:hAnsi="Aptos"/>
          <w:color w:val="191919"/>
          <w:sz w:val="21"/>
        </w:rPr>
        <w:t>Use this page after the workshop or revisit it during the four-session pilot. Athletes can keep the completed plan private or choose what they want to share with a coach or teammate.</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97"/>
        <w:gridCol w:w="4997"/>
      </w:tblGrid>
      <w:tr>
        <w:trPr>
          <w:cantSplit/>
        </w:trPr>
        <w:tc>
          <w:tcPr>
            <w:tcW w:type="dxa" w:w="4320"/>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8"/>
              </w:rPr>
              <w:t>Prompt</w:t>
            </w:r>
          </w:p>
        </w:tc>
        <w:tc>
          <w:tcPr>
            <w:tcW w:type="dxa" w:w="5904"/>
            <w:shd w:fill="9E1B32"/>
            <w:tcMar>
              <w:top w:w="110" w:type="dxa"/>
              <w:start w:w="120" w:type="dxa"/>
              <w:bottom w:w="110" w:type="dxa"/>
              <w:end w:w="120" w:type="dxa"/>
            </w:tcMar>
            <w:vAlign w:val="center"/>
          </w:tcPr>
          <w:p>
            <w:pPr>
              <w:keepNext/>
              <w:widowControl/>
              <w:spacing w:before="0" w:after="0" w:line="240" w:lineRule="auto"/>
            </w:pPr>
            <w:r>
              <w:rPr>
                <w:rFonts w:ascii="Aptos" w:hAnsi="Aptos"/>
                <w:b/>
                <w:color w:val="FFFFFF"/>
                <w:sz w:val="18"/>
              </w:rPr>
              <w:t>My plan</w:t>
            </w:r>
          </w:p>
        </w:tc>
      </w:tr>
      <w:tr>
        <w:trPr>
          <w:cantSplit/>
        </w:trPr>
        <w:tc>
          <w:tcPr>
            <w:tcW w:type="dxa" w:w="4320"/>
            <w:vAlign w:val="center"/>
            <w:tcMar>
              <w:top w:w="100" w:type="dxa"/>
              <w:start w:w="120" w:type="dxa"/>
              <w:bottom w:w="100" w:type="dxa"/>
              <w:end w:w="120" w:type="dxa"/>
            </w:tcMar>
          </w:tcPr>
          <w:p>
            <w:pPr>
              <w:widowControl/>
              <w:spacing w:before="0" w:after="0" w:line="245" w:lineRule="auto"/>
            </w:pPr>
            <w:r>
              <w:rPr>
                <w:rFonts w:ascii="Aptos" w:hAnsi="Aptos"/>
                <w:color w:val="191919"/>
                <w:sz w:val="18"/>
              </w:rPr>
              <w:t>A pressure moment I want to handle well</w:t>
            </w:r>
          </w:p>
        </w:tc>
        <w:tc>
          <w:tcPr>
            <w:tcW w:type="dxa" w:w="5904"/>
            <w:vAlign w:val="center"/>
            <w:tcMar>
              <w:top w:w="100" w:type="dxa"/>
              <w:start w:w="120" w:type="dxa"/>
              <w:bottom w:w="100" w:type="dxa"/>
              <w:end w:w="120" w:type="dxa"/>
            </w:tcMar>
          </w:tcPr>
          <w:p>
            <w:pPr>
              <w:widowControl/>
              <w:spacing w:before="0" w:after="0" w:line="245" w:lineRule="auto"/>
            </w:pPr>
            <w:r>
              <w:rPr>
                <w:rFonts w:ascii="Aptos" w:hAnsi="Aptos"/>
                <w:color w:val="191919"/>
                <w:sz w:val="18"/>
              </w:rPr>
              <w:t>____________________________________________________________</w:t>
              <w:br/>
              <w:t>____________________________________________________________</w:t>
            </w:r>
          </w:p>
        </w:tc>
      </w:tr>
      <w:tr>
        <w:trPr>
          <w:cantSplit/>
        </w:trPr>
        <w:tc>
          <w:tcPr>
            <w:tcW w:type="dxa" w:w="4320"/>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My early cue that pressure is rising</w:t>
            </w:r>
          </w:p>
        </w:tc>
        <w:tc>
          <w:tcPr>
            <w:tcW w:type="dxa" w:w="590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____________________________________________________________</w:t>
              <w:br/>
              <w:t>____________________________________________________________</w:t>
            </w:r>
          </w:p>
        </w:tc>
      </w:tr>
      <w:tr>
        <w:trPr>
          <w:cantSplit/>
        </w:trPr>
        <w:tc>
          <w:tcPr>
            <w:tcW w:type="dxa" w:w="4320"/>
            <w:vAlign w:val="center"/>
            <w:tcMar>
              <w:top w:w="100" w:type="dxa"/>
              <w:start w:w="120" w:type="dxa"/>
              <w:bottom w:w="100" w:type="dxa"/>
              <w:end w:w="120" w:type="dxa"/>
            </w:tcMar>
          </w:tcPr>
          <w:p>
            <w:pPr>
              <w:widowControl/>
              <w:spacing w:before="0" w:after="0" w:line="245" w:lineRule="auto"/>
            </w:pPr>
            <w:r>
              <w:rPr>
                <w:rFonts w:ascii="Aptos" w:hAnsi="Aptos"/>
                <w:color w:val="191919"/>
                <w:sz w:val="18"/>
              </w:rPr>
              <w:t>My reset: pause, breathe, name what I control, choose my next action</w:t>
            </w:r>
          </w:p>
        </w:tc>
        <w:tc>
          <w:tcPr>
            <w:tcW w:type="dxa" w:w="5904"/>
            <w:vAlign w:val="center"/>
            <w:tcMar>
              <w:top w:w="100" w:type="dxa"/>
              <w:start w:w="120" w:type="dxa"/>
              <w:bottom w:w="100" w:type="dxa"/>
              <w:end w:w="120" w:type="dxa"/>
            </w:tcMar>
          </w:tcPr>
          <w:p>
            <w:pPr>
              <w:widowControl/>
              <w:spacing w:before="0" w:after="0" w:line="245" w:lineRule="auto"/>
            </w:pPr>
            <w:r>
              <w:rPr>
                <w:rFonts w:ascii="Aptos" w:hAnsi="Aptos"/>
                <w:color w:val="191919"/>
                <w:sz w:val="18"/>
              </w:rPr>
              <w:t>____________________________________________________________</w:t>
              <w:br/>
              <w:t>____________________________________________________________</w:t>
            </w:r>
          </w:p>
        </w:tc>
      </w:tr>
      <w:tr>
        <w:trPr>
          <w:cantSplit/>
        </w:trPr>
        <w:tc>
          <w:tcPr>
            <w:tcW w:type="dxa" w:w="4320"/>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One routine I will use before, during, or after practice or competition</w:t>
            </w:r>
          </w:p>
        </w:tc>
        <w:tc>
          <w:tcPr>
            <w:tcW w:type="dxa" w:w="590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____________________________________________________________</w:t>
              <w:br/>
              <w:t>____________________________________________________________</w:t>
            </w:r>
          </w:p>
        </w:tc>
      </w:tr>
      <w:tr>
        <w:trPr>
          <w:cantSplit/>
        </w:trPr>
        <w:tc>
          <w:tcPr>
            <w:tcW w:type="dxa" w:w="4320"/>
            <w:vAlign w:val="center"/>
            <w:tcMar>
              <w:top w:w="100" w:type="dxa"/>
              <w:start w:w="120" w:type="dxa"/>
              <w:bottom w:w="100" w:type="dxa"/>
              <w:end w:w="120" w:type="dxa"/>
            </w:tcMar>
          </w:tcPr>
          <w:p>
            <w:pPr>
              <w:widowControl/>
              <w:spacing w:before="0" w:after="0" w:line="245" w:lineRule="auto"/>
            </w:pPr>
            <w:r>
              <w:rPr>
                <w:rFonts w:ascii="Aptos" w:hAnsi="Aptos"/>
                <w:color w:val="191919"/>
                <w:sz w:val="18"/>
              </w:rPr>
              <w:t>One person I can reach out to and what I can say</w:t>
            </w:r>
          </w:p>
        </w:tc>
        <w:tc>
          <w:tcPr>
            <w:tcW w:type="dxa" w:w="5904"/>
            <w:vAlign w:val="center"/>
            <w:tcMar>
              <w:top w:w="100" w:type="dxa"/>
              <w:start w:w="120" w:type="dxa"/>
              <w:bottom w:w="100" w:type="dxa"/>
              <w:end w:w="120" w:type="dxa"/>
            </w:tcMar>
          </w:tcPr>
          <w:p>
            <w:pPr>
              <w:widowControl/>
              <w:spacing w:before="0" w:after="0" w:line="245" w:lineRule="auto"/>
            </w:pPr>
            <w:r>
              <w:rPr>
                <w:rFonts w:ascii="Aptos" w:hAnsi="Aptos"/>
                <w:color w:val="191919"/>
                <w:sz w:val="18"/>
              </w:rPr>
              <w:t>____________________________________________________________</w:t>
              <w:br/>
              <w:t>____________________________________________________________</w:t>
            </w:r>
          </w:p>
        </w:tc>
      </w:tr>
      <w:tr>
        <w:trPr>
          <w:cantSplit/>
        </w:trPr>
        <w:tc>
          <w:tcPr>
            <w:tcW w:type="dxa" w:w="4320"/>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A change or transition I am preparing for; one next step</w:t>
            </w:r>
          </w:p>
        </w:tc>
        <w:tc>
          <w:tcPr>
            <w:tcW w:type="dxa" w:w="5904"/>
            <w:vAlign w:val="center"/>
            <w:tcMar>
              <w:top w:w="100" w:type="dxa"/>
              <w:start w:w="120" w:type="dxa"/>
              <w:bottom w:w="100" w:type="dxa"/>
              <w:end w:w="120" w:type="dxa"/>
            </w:tcMar>
            <w:shd w:fill="F7F2F0"/>
          </w:tcPr>
          <w:p>
            <w:pPr>
              <w:widowControl/>
              <w:spacing w:before="0" w:after="0" w:line="245" w:lineRule="auto"/>
            </w:pPr>
            <w:r>
              <w:rPr>
                <w:rFonts w:ascii="Aptos" w:hAnsi="Aptos"/>
                <w:color w:val="191919"/>
                <w:sz w:val="18"/>
              </w:rPr>
              <w:t>____________________________________________________________</w:t>
              <w:br/>
              <w:t>____________________________________________________________</w:t>
            </w:r>
          </w:p>
        </w:tc>
      </w:tr>
    </w:tbl>
    <w:p>
      <w:pPr>
        <w:spacing w:after="20"/>
      </w:pP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R.E.A.C.T. Athlete Performance and Resilience Pilot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9E1B32"/>
        <w:sz w:val="16"/>
      </w:rPr>
      <w:t>R.E.A.C.T. PERFORMANCE INSTITUTE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9191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9191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919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proquest.com/openview/ae44b0ade8b403229467602d05862b65/1?pq-origsite=gscholar&amp;cbl=18750&amp;dis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 Athlete Performance and Resilience Pilot</dc:title>
  <dc:subject>Team program overview, delivery guide, and professional league alignment</dc:subject>
  <dc:creator>Dr. Jonathean Reese</dc:creator>
  <cp:keywords/>
  <dc:description>generated by python-docx</dc:description>
  <cp:lastModifiedBy/>
  <cp:revision>1</cp:revision>
  <dcterms:created xsi:type="dcterms:W3CDTF">2013-12-23T23:15:00Z</dcterms:created>
  <dcterms:modified xsi:type="dcterms:W3CDTF">2013-12-23T23:15:00Z</dcterms:modified>
  <cp:category/>
</cp:coreProperties>
</file>