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Aptos" w:hAnsi="Aptos"/>
          <w:b/>
          <w:i w:val="0"/>
          <w:color w:val="191919"/>
          <w:sz w:val="38"/>
        </w:rPr>
        <w:t>R.E.A.C.T. Athlete Performance and Resilience Pilot</w:t>
      </w:r>
    </w:p>
    <w:p>
      <w:pPr>
        <w:spacing w:before="0" w:after="80" w:line="240" w:lineRule="auto"/>
      </w:pPr>
      <w:r>
        <w:rPr>
          <w:rFonts w:ascii="Aptos" w:hAnsi="Aptos"/>
          <w:b/>
          <w:i w:val="0"/>
          <w:color w:val="B68A35"/>
          <w:sz w:val="16"/>
        </w:rPr>
        <w:t>TEAM SUMMARY  |  R.E.A.C.T. PERFORMANCE INSTITUTE</w:t>
      </w:r>
    </w:p>
    <w:p>
      <w:pPr>
        <w:spacing w:before="0" w:after="80" w:line="240" w:lineRule="auto"/>
      </w:pPr>
      <w:r>
        <w:rPr>
          <w:rFonts w:ascii="Aptos" w:hAnsi="Aptos"/>
          <w:b w:val="0"/>
          <w:i w:val="0"/>
          <w:color w:val="9E1B32"/>
          <w:sz w:val="20"/>
        </w:rPr>
        <w:t>A practical, educational program that helps athletes rehearse skills for pressure, consistency, connection, and career transitions.</w:t>
      </w:r>
    </w:p>
    <w:p>
      <w:pPr>
        <w:spacing w:before="0" w:after="60" w:line="240" w:lineRule="auto"/>
      </w:pPr>
      <w:r>
        <w:rPr>
          <w:rFonts w:ascii="Aptos" w:hAnsi="Aptos"/>
          <w:b w:val="0"/>
          <w:i w:val="0"/>
          <w:color w:val="191919"/>
          <w:sz w:val="17"/>
        </w:rPr>
        <w:t>Prepared by Dr. Jonathean Reese, DSW, MA Counseling Psychology | IFBB Pro Men’s Physique athlete, coach, certified personal trainer, and nutrition coach</w:t>
      </w:r>
    </w:p>
    <w:p>
      <w:pPr>
        <w:keepNext/>
        <w:spacing w:before="100" w:after="40"/>
      </w:pPr>
      <w:r>
        <w:rPr>
          <w:rFonts w:ascii="Aptos" w:hAnsi="Aptos"/>
          <w:b/>
          <w:i w:val="0"/>
          <w:color w:val="191919"/>
          <w:sz w:val="20"/>
        </w:rPr>
        <w:t>The pilot at a glance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41"/>
        <w:gridCol w:w="5141"/>
      </w:tblGrid>
      <w:tr>
        <w:tc>
          <w:tcPr>
            <w:tcW w:type="dxa" w:w="5141"/>
            <w:shd w:fill="9E1B32"/>
            <w:vAlign w:val="center"/>
          </w:tcPr>
          <w:p>
            <w:r/>
            <w:r>
              <w:rPr>
                <w:rFonts w:ascii="Aptos" w:hAnsi="Aptos"/>
                <w:b/>
                <w:i w:val="0"/>
                <w:color w:val="FFFFFF"/>
                <w:sz w:val="16"/>
              </w:rPr>
              <w:t>FIRST STEP</w:t>
            </w:r>
          </w:p>
        </w:tc>
        <w:tc>
          <w:tcPr>
            <w:tcW w:type="dxa" w:w="5141"/>
            <w:shd w:fill="9E1B32"/>
            <w:vAlign w:val="center"/>
          </w:tcPr>
          <w:p>
            <w:r/>
            <w:r>
              <w:rPr>
                <w:rFonts w:ascii="Aptos" w:hAnsi="Aptos"/>
                <w:b/>
                <w:i w:val="0"/>
                <w:color w:val="FFFFFF"/>
                <w:sz w:val="16"/>
              </w:rPr>
              <w:t>OPTIONAL EXTENSION</w:t>
            </w:r>
          </w:p>
        </w:tc>
      </w:tr>
      <w:tr>
        <w:tc>
          <w:tcPr>
            <w:tcW w:type="dxa" w:w="5141"/>
            <w:vAlign w:val="center"/>
          </w:tcPr>
          <w:p>
            <w:r/>
            <w:r>
              <w:rPr>
                <w:rFonts w:ascii="Aptos" w:hAnsi="Aptos"/>
                <w:b w:val="0"/>
                <w:i w:val="0"/>
                <w:color w:val="191919"/>
                <w:sz w:val="17"/>
              </w:rPr>
              <w:t>One 75-minute interactive team workshop, adjustable to 60–90 minutes.</w:t>
            </w:r>
          </w:p>
        </w:tc>
        <w:tc>
          <w:tcPr>
            <w:tcW w:type="dxa" w:w="5141"/>
            <w:vAlign w:val="center"/>
          </w:tcPr>
          <w:p>
            <w:r/>
            <w:r>
              <w:rPr>
                <w:rFonts w:ascii="Aptos" w:hAnsi="Aptos"/>
                <w:b w:val="0"/>
                <w:i w:val="0"/>
                <w:color w:val="191919"/>
                <w:sz w:val="17"/>
              </w:rPr>
              <w:t>Four follow-up sessions, typically 45–60 minutes each, adapted to team needs.</w:t>
            </w:r>
          </w:p>
        </w:tc>
      </w:tr>
    </w:tbl>
    <w:p>
      <w:pPr>
        <w:keepNext/>
        <w:spacing w:before="100" w:after="40"/>
      </w:pPr>
      <w:r>
        <w:rPr>
          <w:rFonts w:ascii="Aptos" w:hAnsi="Aptos"/>
          <w:b/>
          <w:i w:val="0"/>
          <w:color w:val="191919"/>
          <w:sz w:val="20"/>
        </w:rPr>
        <w:t>What athletes practice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59"/>
        <w:gridCol w:w="2059"/>
        <w:gridCol w:w="2059"/>
        <w:gridCol w:w="2059"/>
        <w:gridCol w:w="2059"/>
      </w:tblGrid>
      <w:tr>
        <w:tc>
          <w:tcPr>
            <w:tcW w:type="dxa" w:w="2059"/>
            <w:shd w:fill="9E1B32"/>
            <w:vAlign w:val="center"/>
          </w:tcPr>
          <w:p>
            <w:r/>
            <w:r>
              <w:rPr>
                <w:rFonts w:ascii="Aptos" w:hAnsi="Aptos"/>
                <w:b/>
                <w:i w:val="0"/>
                <w:color w:val="FFFFFF"/>
                <w:sz w:val="16"/>
              </w:rPr>
              <w:t>R</w:t>
            </w:r>
          </w:p>
        </w:tc>
        <w:tc>
          <w:tcPr>
            <w:tcW w:type="dxa" w:w="2059"/>
            <w:shd w:fill="9E1B32"/>
            <w:vAlign w:val="center"/>
          </w:tcPr>
          <w:p>
            <w:r/>
            <w:r>
              <w:rPr>
                <w:rFonts w:ascii="Aptos" w:hAnsi="Aptos"/>
                <w:b/>
                <w:i w:val="0"/>
                <w:color w:val="FFFFFF"/>
                <w:sz w:val="16"/>
              </w:rPr>
              <w:t>E</w:t>
            </w:r>
          </w:p>
        </w:tc>
        <w:tc>
          <w:tcPr>
            <w:tcW w:type="dxa" w:w="2059"/>
            <w:shd w:fill="9E1B32"/>
            <w:vAlign w:val="center"/>
          </w:tcPr>
          <w:p>
            <w:r/>
            <w:r>
              <w:rPr>
                <w:rFonts w:ascii="Aptos" w:hAnsi="Aptos"/>
                <w:b/>
                <w:i w:val="0"/>
                <w:color w:val="FFFFFF"/>
                <w:sz w:val="16"/>
              </w:rPr>
              <w:t>A</w:t>
            </w:r>
          </w:p>
        </w:tc>
        <w:tc>
          <w:tcPr>
            <w:tcW w:type="dxa" w:w="2059"/>
            <w:shd w:fill="9E1B32"/>
            <w:vAlign w:val="center"/>
          </w:tcPr>
          <w:p>
            <w:r/>
            <w:r>
              <w:rPr>
                <w:rFonts w:ascii="Aptos" w:hAnsi="Aptos"/>
                <w:b/>
                <w:i w:val="0"/>
                <w:color w:val="FFFFFF"/>
                <w:sz w:val="16"/>
              </w:rPr>
              <w:t>C</w:t>
            </w:r>
          </w:p>
        </w:tc>
        <w:tc>
          <w:tcPr>
            <w:tcW w:type="dxa" w:w="2059"/>
            <w:shd w:fill="9E1B32"/>
            <w:vAlign w:val="center"/>
          </w:tcPr>
          <w:p>
            <w:r/>
            <w:r>
              <w:rPr>
                <w:rFonts w:ascii="Aptos" w:hAnsi="Aptos"/>
                <w:b/>
                <w:i w:val="0"/>
                <w:color w:val="FFFFFF"/>
                <w:sz w:val="16"/>
              </w:rPr>
              <w:t>T</w:t>
            </w:r>
          </w:p>
        </w:tc>
      </w:tr>
      <w:tr>
        <w:tc>
          <w:tcPr>
            <w:tcW w:type="dxa" w:w="2059"/>
            <w:vAlign w:val="center"/>
          </w:tcPr>
          <w:p>
            <w:r/>
            <w:r>
              <w:rPr>
                <w:rFonts w:ascii="Aptos" w:hAnsi="Aptos"/>
                <w:b w:val="0"/>
                <w:i w:val="0"/>
                <w:color w:val="191919"/>
                <w:sz w:val="17"/>
              </w:rPr>
              <w:t>Resilience</w:t>
            </w:r>
          </w:p>
        </w:tc>
        <w:tc>
          <w:tcPr>
            <w:tcW w:type="dxa" w:w="2059"/>
            <w:vAlign w:val="center"/>
          </w:tcPr>
          <w:p>
            <w:r/>
            <w:r>
              <w:rPr>
                <w:rFonts w:ascii="Aptos" w:hAnsi="Aptos"/>
                <w:b w:val="0"/>
                <w:i w:val="0"/>
                <w:color w:val="191919"/>
                <w:sz w:val="17"/>
              </w:rPr>
              <w:t>Emotion</w:t>
            </w:r>
          </w:p>
        </w:tc>
        <w:tc>
          <w:tcPr>
            <w:tcW w:type="dxa" w:w="2059"/>
            <w:vAlign w:val="center"/>
          </w:tcPr>
          <w:p>
            <w:r/>
            <w:r>
              <w:rPr>
                <w:rFonts w:ascii="Aptos" w:hAnsi="Aptos"/>
                <w:b w:val="0"/>
                <w:i w:val="0"/>
                <w:color w:val="191919"/>
                <w:sz w:val="17"/>
              </w:rPr>
              <w:t>Activity</w:t>
            </w:r>
          </w:p>
        </w:tc>
        <w:tc>
          <w:tcPr>
            <w:tcW w:type="dxa" w:w="2059"/>
            <w:vAlign w:val="center"/>
          </w:tcPr>
          <w:p>
            <w:r/>
            <w:r>
              <w:rPr>
                <w:rFonts w:ascii="Aptos" w:hAnsi="Aptos"/>
                <w:b w:val="0"/>
                <w:i w:val="0"/>
                <w:color w:val="191919"/>
                <w:sz w:val="17"/>
              </w:rPr>
              <w:t>Connection</w:t>
            </w:r>
          </w:p>
        </w:tc>
        <w:tc>
          <w:tcPr>
            <w:tcW w:type="dxa" w:w="2059"/>
            <w:vAlign w:val="center"/>
          </w:tcPr>
          <w:p>
            <w:r/>
            <w:r>
              <w:rPr>
                <w:rFonts w:ascii="Aptos" w:hAnsi="Aptos"/>
                <w:b w:val="0"/>
                <w:i w:val="0"/>
                <w:color w:val="191919"/>
                <w:sz w:val="17"/>
              </w:rPr>
              <w:t>Transition</w:t>
            </w:r>
          </w:p>
        </w:tc>
      </w:tr>
    </w:tbl>
    <w:p>
      <w:pPr>
        <w:spacing w:before="0" w:after="40" w:line="240" w:lineRule="auto"/>
      </w:pPr>
      <w:r>
        <w:rPr>
          <w:rFonts w:ascii="Aptos" w:hAnsi="Aptos"/>
          <w:b w:val="0"/>
          <w:i w:val="0"/>
          <w:color w:val="191919"/>
          <w:sz w:val="17"/>
        </w:rPr>
        <w:t>Players rehearse a brief reset routine, identify a useful next action within their control, plan a consistent preparation or recovery routine, practice asking for support, and map a next step through a change in role, injury status, season, or career.</w:t>
      </w:r>
    </w:p>
    <w:p>
      <w:pPr>
        <w:keepNext/>
        <w:spacing w:before="100" w:after="40"/>
      </w:pPr>
      <w:r>
        <w:rPr>
          <w:rFonts w:ascii="Aptos" w:hAnsi="Aptos"/>
          <w:b/>
          <w:i w:val="0"/>
          <w:color w:val="191919"/>
          <w:sz w:val="20"/>
        </w:rPr>
        <w:t>How it fits NFL Total Wellness</w:t>
      </w:r>
    </w:p>
    <w:p>
      <w:pPr>
        <w:spacing w:before="0" w:after="40" w:line="240" w:lineRule="auto"/>
      </w:pPr>
      <w:r>
        <w:rPr>
          <w:rFonts w:ascii="Aptos" w:hAnsi="Aptos"/>
          <w:b w:val="0"/>
          <w:i w:val="0"/>
          <w:color w:val="191919"/>
          <w:sz w:val="17"/>
        </w:rPr>
        <w:t>NFL Total Wellness includes preventive wellbeing, education across the player life cycle, connections to clinical resources, and crisis support. Its education includes the Rookie Success Program, team mental health trainings, and Legends Ambassadors training. R.E.A.C.T. is designed as an optional applied skill-practice pilot that could complement Player Engagement or Player Development and the team’s existing clinical and performance staff. It does not provide clinical care or crisis response, and it does not imply NFL endorsement.</w:t>
      </w:r>
    </w:p>
    <w:p>
      <w:pPr>
        <w:pStyle w:val="Heading2"/>
      </w:pPr>
      <w:r>
        <w:t>Published research informing R.E.A.C.T.</w:t>
      </w:r>
    </w:p>
    <w:p>
      <w:r>
        <w:t>The R.E.A.C.T. framework was developed and evaluated in Dr. Reese’s 2026 DSW comprehensive project, “Innovating Through Staff Readiness: Development and Evaluation of the R.E.A.C.T. Education Seminar for Foster Care Organizations” (ProQuest Publication No. 32857244). At one Olive Crest STRTP, eight staff participants reported favorable post-seminar ratings for knowledge, confidence, usefulness, and organizational readiness. This published work informs the program’s focus on practical skills and implementation readiness; it did not test athletes or establish athlete-performance outcomes. The college and professional athlete pilot is a new application that will be evaluated with its intended population.</w:t>
      </w:r>
    </w:p>
    <w:p>
      <w:pPr>
        <w:spacing w:after="100"/>
      </w:pPr>
      <w:r>
        <w:t xml:space="preserve">Published project: </w:t>
      </w:r>
      <w:hyperlink r:id="rId10">
        <w:r>
          <w:rPr>
            <w:color w:val="0563C1"/>
            <w:u w:val="single"/>
          </w:rPr>
          <w:t>Read the ProQuest record</w:t>
        </w:r>
      </w:hyperlink>
    </w:p>
    <w:p>
      <w:pPr>
        <w:keepNext/>
        <w:spacing w:before="100" w:after="40"/>
      </w:pPr>
      <w:r>
        <w:rPr>
          <w:rFonts w:ascii="Aptos" w:hAnsi="Aptos"/>
          <w:b/>
          <w:i w:val="0"/>
          <w:color w:val="191919"/>
          <w:sz w:val="20"/>
        </w:rPr>
        <w:t>Pilot outcomes and team deliverable</w:t>
      </w:r>
    </w:p>
    <w:p>
      <w:pPr>
        <w:spacing w:before="0" w:after="40" w:line="240" w:lineRule="auto"/>
      </w:pPr>
      <w:r>
        <w:rPr>
          <w:rFonts w:ascii="Aptos" w:hAnsi="Aptos"/>
          <w:b w:val="0"/>
          <w:i w:val="0"/>
          <w:color w:val="191919"/>
          <w:sz w:val="17"/>
        </w:rPr>
        <w:t>Track participation, athlete self-ratings of confidence using the reset and routines, perceived usefulness, and intended next steps. For a four-session pilot, compare brief baseline and final ratings. The team contact receives an aggregate feedback summary and recommendations. These are pilot-level learning and feasibility indicators, not claims of improved statistics, fewer injuries, or clinical effects.</w:t>
      </w:r>
    </w:p>
    <w:p>
      <w:pPr>
        <w:keepNext/>
        <w:spacing w:before="100" w:after="40"/>
      </w:pPr>
      <w:r>
        <w:rPr>
          <w:rFonts w:ascii="Aptos" w:hAnsi="Aptos"/>
          <w:b/>
          <w:i w:val="0"/>
          <w:color w:val="191919"/>
          <w:sz w:val="20"/>
        </w:rPr>
        <w:t>What I bring</w:t>
      </w:r>
    </w:p>
    <w:p>
      <w:pPr>
        <w:spacing w:before="0" w:after="40" w:line="240" w:lineRule="auto"/>
      </w:pPr>
      <w:r>
        <w:rPr>
          <w:rFonts w:ascii="Aptos" w:hAnsi="Aptos"/>
          <w:b w:val="0"/>
          <w:i w:val="0"/>
          <w:color w:val="191919"/>
          <w:sz w:val="17"/>
        </w:rPr>
        <w:t>The program combines the R.E.A.C.T. framework with my experience as an IFBB Pro athlete and coach, my DSW and MA in Counseling Psychology, social work practice, and workforce development. I bring firsthand understanding of high-performance sport, a structured workshop, athlete-centered facilitation, practical tools, and a simple feedback process.</w:t>
      </w:r>
    </w:p>
    <w:p>
      <w:pPr>
        <w:spacing w:before="80" w:after="20" w:line="240" w:lineRule="auto"/>
      </w:pPr>
      <w:r>
        <w:rPr>
          <w:rFonts w:ascii="Aptos" w:hAnsi="Aptos"/>
          <w:b/>
          <w:i w:val="0"/>
          <w:color w:val="9E1B32"/>
          <w:sz w:val="17"/>
        </w:rPr>
        <w:t>PROPOSED NEXT STEP  |  Explore a small team pilot and identify the right contact in Player Engagement or Player Development, with clinical or mental performance staff involved in review.</w:t>
      </w:r>
    </w:p>
    <w:sectPr w:rsidR="00FC693F" w:rsidRPr="0006063C" w:rsidSect="00034616">
      <w:footerReference w:type="default" r:id="rId9"/>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666666"/>
        <w:sz w:val="15"/>
      </w:rPr>
      <w:t>R.E.A.C.T. Athlete Performance and Resilience Pilot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proquest.com/openview/ae44b0ade8b403229467602d05862b65/1?pq-origsite=gscholar&amp;cbl=18750&amp;dis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 Athlete Performance and Resilience Pilot Coach Summary</dc:title>
  <dc:subject/>
  <dc:creator>Dr. Jonathean Reese</dc:creator>
  <cp:keywords/>
  <dc:description>generated by python-docx</dc:description>
  <cp:lastModifiedBy/>
  <cp:revision>1</cp:revision>
  <dcterms:created xsi:type="dcterms:W3CDTF">2013-12-23T23:15:00Z</dcterms:created>
  <dcterms:modified xsi:type="dcterms:W3CDTF">2013-12-23T23:15:00Z</dcterms:modified>
  <cp:category/>
</cp:coreProperties>
</file>